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聊城沪农商村镇银行2025年社会责任报告</w:t>
      </w:r>
    </w:p>
    <w:p>
      <w:pPr>
        <w:pStyle w:val="2"/>
        <w:rPr>
          <w:rFonts w:hint="eastAsia"/>
          <w:lang w:val="en-US" w:eastAsia="zh-CN"/>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仿宋" w:hAnsi="仿宋" w:eastAsia="仿宋" w:cs="仿宋"/>
          <w:b/>
          <w:bCs/>
          <w:sz w:val="36"/>
          <w:szCs w:val="36"/>
          <w:lang w:val="en-US" w:eastAsia="zh-CN"/>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仿宋" w:hAnsi="仿宋" w:eastAsia="仿宋" w:cs="仿宋"/>
          <w:b/>
          <w:bCs/>
          <w:sz w:val="36"/>
          <w:szCs w:val="36"/>
          <w:lang w:val="en-US" w:eastAsia="zh-CN"/>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目  录</w:t>
      </w:r>
    </w:p>
    <w:p>
      <w:pPr>
        <w:keepNext w:val="0"/>
        <w:keepLines w:val="0"/>
        <w:pageBreakBefore w:val="0"/>
        <w:numPr>
          <w:ilvl w:val="0"/>
          <w:numId w:val="1"/>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社会责任概况 </w:t>
      </w:r>
    </w:p>
    <w:p>
      <w:pPr>
        <w:keepNext w:val="0"/>
        <w:keepLines w:val="0"/>
        <w:pageBreakBefore w:val="0"/>
        <w:numPr>
          <w:ilvl w:val="0"/>
          <w:numId w:val="1"/>
        </w:numPr>
        <w:kinsoku/>
        <w:wordWrap/>
        <w:overflowPunct/>
        <w:topLinePunct w:val="0"/>
        <w:autoSpaceDE/>
        <w:autoSpaceDN/>
        <w:bidi w:val="0"/>
        <w:snapToGrid/>
        <w:spacing w:line="600" w:lineRule="exact"/>
        <w:ind w:left="0" w:leftChars="0" w:firstLine="0" w:firstLineChars="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社会责任理念 </w:t>
      </w:r>
    </w:p>
    <w:p>
      <w:pPr>
        <w:keepNext w:val="0"/>
        <w:keepLines w:val="0"/>
        <w:pageBreakBefore w:val="0"/>
        <w:numPr>
          <w:ilvl w:val="0"/>
          <w:numId w:val="1"/>
        </w:numPr>
        <w:kinsoku/>
        <w:wordWrap/>
        <w:overflowPunct/>
        <w:topLinePunct w:val="0"/>
        <w:autoSpaceDE/>
        <w:autoSpaceDN/>
        <w:bidi w:val="0"/>
        <w:snapToGrid/>
        <w:spacing w:line="600" w:lineRule="exact"/>
        <w:ind w:left="0" w:leftChars="0" w:firstLine="0" w:firstLineChars="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社会责任管理 </w:t>
      </w:r>
    </w:p>
    <w:p>
      <w:pPr>
        <w:keepNext w:val="0"/>
        <w:keepLines w:val="0"/>
        <w:pageBreakBefore w:val="0"/>
        <w:numPr>
          <w:ilvl w:val="0"/>
          <w:numId w:val="1"/>
        </w:numPr>
        <w:kinsoku/>
        <w:wordWrap/>
        <w:overflowPunct/>
        <w:topLinePunct w:val="0"/>
        <w:autoSpaceDE/>
        <w:autoSpaceDN/>
        <w:bidi w:val="0"/>
        <w:snapToGrid/>
        <w:spacing w:line="600" w:lineRule="exact"/>
        <w:ind w:left="0" w:leftChars="0" w:firstLine="0" w:firstLineChars="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社会责任实践</w:t>
      </w:r>
    </w:p>
    <w:p>
      <w:pPr>
        <w:keepNext w:val="0"/>
        <w:keepLines w:val="0"/>
        <w:pageBreakBefore w:val="0"/>
        <w:numPr>
          <w:ilvl w:val="0"/>
          <w:numId w:val="1"/>
        </w:numPr>
        <w:kinsoku/>
        <w:wordWrap/>
        <w:overflowPunct/>
        <w:topLinePunct w:val="0"/>
        <w:autoSpaceDE/>
        <w:autoSpaceDN/>
        <w:bidi w:val="0"/>
        <w:snapToGrid/>
        <w:spacing w:line="600" w:lineRule="exact"/>
        <w:ind w:left="0" w:leftChars="0" w:firstLine="0" w:firstLineChars="0"/>
        <w:jc w:val="left"/>
        <w:textAlignment w:val="auto"/>
        <w:rPr>
          <w:rFonts w:hint="default" w:ascii="仿宋" w:hAnsi="仿宋" w:eastAsia="仿宋" w:cs="仿宋"/>
          <w:b w:val="0"/>
          <w:bCs w:val="0"/>
          <w:sz w:val="28"/>
          <w:szCs w:val="28"/>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b w:val="0"/>
          <w:bCs w:val="0"/>
          <w:sz w:val="28"/>
          <w:szCs w:val="28"/>
          <w:lang w:val="en-US" w:eastAsia="zh-CN"/>
        </w:rPr>
        <w:t>责任展望</w:t>
      </w:r>
    </w:p>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第一节 社会责任概况</w:t>
      </w:r>
    </w:p>
    <w:p>
      <w:pPr>
        <w:keepNext w:val="0"/>
        <w:keepLines w:val="0"/>
        <w:pageBreakBefore w:val="0"/>
        <w:kinsoku/>
        <w:wordWrap/>
        <w:overflowPunct/>
        <w:topLinePunct w:val="0"/>
        <w:autoSpaceDE/>
        <w:autoSpaceDN/>
        <w:bidi w:val="0"/>
        <w:snapToGrid/>
        <w:spacing w:line="60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报告概况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pPr>
              <w:keepNext w:val="0"/>
              <w:keepLines w:val="0"/>
              <w:pageBreakBefore w:val="0"/>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lang w:val="en-US" w:eastAsia="zh-CN"/>
              </w:rPr>
              <w:t>报告时间范围</w:t>
            </w:r>
          </w:p>
        </w:tc>
        <w:tc>
          <w:tcPr>
            <w:tcW w:w="6803" w:type="dxa"/>
            <w:vAlign w:val="center"/>
          </w:tcPr>
          <w:p>
            <w:pPr>
              <w:keepNext w:val="0"/>
              <w:keepLines w:val="0"/>
              <w:pageBreakBefore w:val="0"/>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highlight w:val="cyan"/>
                <w:lang w:val="en-US" w:eastAsia="zh-CN"/>
              </w:rPr>
            </w:pPr>
            <w:r>
              <w:rPr>
                <w:rFonts w:hint="eastAsia" w:ascii="仿宋" w:hAnsi="仿宋" w:eastAsia="仿宋" w:cs="仿宋"/>
                <w:b w:val="0"/>
                <w:bCs w:val="0"/>
                <w:sz w:val="24"/>
                <w:szCs w:val="24"/>
                <w:highlight w:val="none"/>
                <w:lang w:val="en-US" w:eastAsia="zh-CN"/>
              </w:rPr>
              <w:t>2025年1月1日至2025年12月31日，部分表述及数据适当追溯以往年份。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shd w:val="clear" w:color="auto" w:fill="DEEBF6" w:themeFill="accent1" w:themeFillTint="32"/>
            <w:vAlign w:val="center"/>
          </w:tcPr>
          <w:p>
            <w:pPr>
              <w:keepNext w:val="0"/>
              <w:keepLines w:val="0"/>
              <w:pageBreakBefore w:val="0"/>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lang w:val="en-US" w:eastAsia="zh-CN"/>
              </w:rPr>
              <w:t>报告发布周期</w:t>
            </w:r>
          </w:p>
        </w:tc>
        <w:tc>
          <w:tcPr>
            <w:tcW w:w="6803" w:type="dxa"/>
            <w:shd w:val="clear" w:color="auto" w:fill="DEEBF6" w:themeFill="accent1" w:themeFillTint="32"/>
            <w:vAlign w:val="center"/>
          </w:tcPr>
          <w:p>
            <w:pPr>
              <w:keepNext w:val="0"/>
              <w:keepLines w:val="0"/>
              <w:pageBreakBefore w:val="0"/>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本报告为年度报告。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pPr>
              <w:keepNext w:val="0"/>
              <w:keepLines w:val="0"/>
              <w:pageBreakBefore w:val="0"/>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报告组织范围</w:t>
            </w:r>
          </w:p>
        </w:tc>
        <w:tc>
          <w:tcPr>
            <w:tcW w:w="6803" w:type="dxa"/>
            <w:vAlign w:val="center"/>
          </w:tcPr>
          <w:p>
            <w:pPr>
              <w:keepNext w:val="0"/>
              <w:keepLines w:val="0"/>
              <w:pageBreakBefore w:val="0"/>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聊城沪农商村镇银行，为便于表达，在下述报告中简称为本行。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shd w:val="clear" w:color="auto" w:fill="DEEBF6" w:themeFill="accent1" w:themeFillTint="32"/>
            <w:vAlign w:val="center"/>
          </w:tcPr>
          <w:p>
            <w:pPr>
              <w:keepNext w:val="0"/>
              <w:keepLines w:val="0"/>
              <w:pageBreakBefore w:val="0"/>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报告数据说明</w:t>
            </w:r>
          </w:p>
        </w:tc>
        <w:tc>
          <w:tcPr>
            <w:tcW w:w="6803" w:type="dxa"/>
            <w:shd w:val="clear" w:color="auto" w:fill="DEEBF6" w:themeFill="accent1" w:themeFillTint="32"/>
            <w:vAlign w:val="center"/>
          </w:tcPr>
          <w:p>
            <w:pPr>
              <w:keepNext w:val="0"/>
              <w:keepLines w:val="0"/>
              <w:pageBreakBefore w:val="0"/>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本报告的数据主要源于聊城沪农商村镇银行。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pPr>
              <w:keepNext w:val="0"/>
              <w:keepLines w:val="0"/>
              <w:pageBreakBefore w:val="0"/>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报告编制依据</w:t>
            </w:r>
          </w:p>
        </w:tc>
        <w:tc>
          <w:tcPr>
            <w:tcW w:w="6803" w:type="dxa"/>
            <w:vAlign w:val="center"/>
          </w:tcPr>
          <w:p>
            <w:pPr>
              <w:keepNext w:val="0"/>
              <w:keepLines w:val="0"/>
              <w:pageBreakBefore w:val="0"/>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原中国银监会《关于加强银行业金融机构社会责任的意见》</w:t>
            </w:r>
          </w:p>
          <w:p>
            <w:pPr>
              <w:keepNext w:val="0"/>
              <w:keepLines w:val="0"/>
              <w:pageBreakBefore w:val="0"/>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中国银行业协会《中国银行业金融机构企业社会责任指引》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shd w:val="clear" w:color="auto" w:fill="DEEBF6" w:themeFill="accent1" w:themeFillTint="32"/>
            <w:vAlign w:val="center"/>
          </w:tcPr>
          <w:p>
            <w:pPr>
              <w:keepNext w:val="0"/>
              <w:keepLines w:val="0"/>
              <w:pageBreakBefore w:val="0"/>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报告发布方式</w:t>
            </w:r>
          </w:p>
        </w:tc>
        <w:tc>
          <w:tcPr>
            <w:tcW w:w="6803" w:type="dxa"/>
            <w:shd w:val="clear" w:color="auto" w:fill="DEEBF6" w:themeFill="accent1" w:themeFillTint="32"/>
            <w:vAlign w:val="center"/>
          </w:tcPr>
          <w:p>
            <w:pPr>
              <w:keepNext w:val="0"/>
              <w:keepLines w:val="0"/>
              <w:pageBreakBefore w:val="0"/>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报告以电子版形式发布，电子版查询及下载地址：</w:t>
            </w:r>
            <w:r>
              <w:rPr>
                <w:rFonts w:hint="eastAsia" w:ascii="仿宋" w:hAnsi="仿宋" w:eastAsia="仿宋" w:cs="仿宋"/>
                <w:b w:val="0"/>
                <w:bCs w:val="0"/>
                <w:sz w:val="24"/>
                <w:szCs w:val="24"/>
                <w:highlight w:val="none"/>
                <w:vertAlign w:val="baseline"/>
                <w:lang w:val="en-US" w:eastAsia="zh-CN"/>
              </w:rPr>
              <w:t>http://liaoc.srcbcz.com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pPr>
              <w:keepNext w:val="0"/>
              <w:keepLines w:val="0"/>
              <w:pageBreakBefore w:val="0"/>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联系方式</w:t>
            </w:r>
          </w:p>
        </w:tc>
        <w:tc>
          <w:tcPr>
            <w:tcW w:w="6803" w:type="dxa"/>
            <w:vAlign w:val="center"/>
          </w:tcPr>
          <w:p>
            <w:pPr>
              <w:keepNext w:val="0"/>
              <w:keepLines w:val="0"/>
              <w:pageBreakBefore w:val="0"/>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部门姓名：办公室</w:t>
            </w:r>
          </w:p>
          <w:p>
            <w:pPr>
              <w:keepNext w:val="0"/>
              <w:keepLines w:val="0"/>
              <w:pageBreakBefore w:val="0"/>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地址：聊城市东昌府区兴华东路67号</w:t>
            </w:r>
          </w:p>
          <w:p>
            <w:pPr>
              <w:keepNext w:val="0"/>
              <w:keepLines w:val="0"/>
              <w:pageBreakBefore w:val="0"/>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电话：0635-5083338</w:t>
            </w:r>
          </w:p>
        </w:tc>
      </w:tr>
    </w:tbl>
    <w:p>
      <w:pPr>
        <w:keepNext w:val="0"/>
        <w:keepLines w:val="0"/>
        <w:pageBreakBefore w:val="0"/>
        <w:kinsoku/>
        <w:wordWrap/>
        <w:overflowPunct/>
        <w:topLinePunct w:val="0"/>
        <w:autoSpaceDE/>
        <w:autoSpaceDN/>
        <w:bidi w:val="0"/>
        <w:snapToGrid/>
        <w:spacing w:line="600" w:lineRule="exact"/>
        <w:textAlignment w:val="auto"/>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公司简介</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法定</w:t>
      </w:r>
      <w:r>
        <w:rPr>
          <w:rFonts w:hint="eastAsia" w:ascii="仿宋_GB2312" w:hAnsi="仿宋_GB2312" w:eastAsia="仿宋_GB2312" w:cs="仿宋_GB2312"/>
          <w:b w:val="0"/>
          <w:bCs w:val="0"/>
          <w:sz w:val="32"/>
          <w:szCs w:val="32"/>
          <w:highlight w:val="none"/>
        </w:rPr>
        <w:t>名称：聊城沪农商村镇银行股份有限公司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中文简称：聊城沪农商村镇银行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英文名称：</w:t>
      </w:r>
      <w:r>
        <w:rPr>
          <w:rFonts w:hint="eastAsia" w:ascii="仿宋_GB2312" w:hAnsi="宋体" w:eastAsia="仿宋_GB2312"/>
          <w:color w:val="000000"/>
          <w:sz w:val="32"/>
          <w:szCs w:val="32"/>
          <w:lang w:val="en-US" w:eastAsia="zh-CN"/>
        </w:rPr>
        <w:t>LIAOCHENG SHRCB RURAL BANK COLTD</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法定代表人：</w:t>
      </w:r>
      <w:r>
        <w:rPr>
          <w:rFonts w:hint="eastAsia" w:ascii="仿宋_GB2312" w:hAnsi="仿宋_GB2312" w:eastAsia="仿宋_GB2312" w:cs="仿宋_GB2312"/>
          <w:b w:val="0"/>
          <w:bCs w:val="0"/>
          <w:sz w:val="32"/>
          <w:szCs w:val="32"/>
          <w:highlight w:val="none"/>
          <w:lang w:val="en-US" w:eastAsia="zh-CN"/>
        </w:rPr>
        <w:t>曹宏忠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三、注册资本：人民币5000万元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四</w:t>
      </w:r>
      <w:r>
        <w:rPr>
          <w:rFonts w:hint="eastAsia" w:ascii="仿宋_GB2312" w:hAnsi="仿宋_GB2312" w:eastAsia="仿宋_GB2312" w:cs="仿宋_GB2312"/>
          <w:b w:val="0"/>
          <w:bCs w:val="0"/>
          <w:sz w:val="32"/>
          <w:szCs w:val="32"/>
          <w:highlight w:val="none"/>
        </w:rPr>
        <w:t>、注册地址及办公地址：聊城市东昌府区兴华东路67号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五、成立时间：</w:t>
      </w:r>
      <w:r>
        <w:rPr>
          <w:rFonts w:hint="eastAsia" w:ascii="仿宋_GB2312" w:hAnsi="仿宋_GB2312" w:eastAsia="仿宋_GB2312" w:cs="仿宋_GB2312"/>
          <w:b w:val="0"/>
          <w:bCs w:val="0"/>
          <w:sz w:val="32"/>
          <w:szCs w:val="32"/>
          <w:highlight w:val="none"/>
        </w:rPr>
        <w:t>2012年6月5日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六、门户网站：</w:t>
      </w:r>
      <w:r>
        <w:rPr>
          <w:rFonts w:hint="eastAsia" w:ascii="仿宋_GB2312" w:hAnsi="仿宋_GB2312" w:eastAsia="仿宋_GB2312" w:cs="仿宋_GB2312"/>
          <w:b w:val="0"/>
          <w:bCs w:val="0"/>
          <w:sz w:val="32"/>
          <w:szCs w:val="32"/>
          <w:highlight w:val="none"/>
        </w:rPr>
        <w:t>liaoc.srcbcz.com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七</w:t>
      </w:r>
      <w:r>
        <w:rPr>
          <w:rFonts w:hint="eastAsia" w:ascii="仿宋_GB2312" w:hAnsi="仿宋_GB2312" w:eastAsia="仿宋_GB2312" w:cs="仿宋_GB2312"/>
          <w:b w:val="0"/>
          <w:bCs w:val="0"/>
          <w:sz w:val="32"/>
          <w:szCs w:val="32"/>
          <w:highlight w:val="none"/>
        </w:rPr>
        <w:t>、本行经营范围</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highlight w:val="none"/>
        </w:rPr>
        <w:t>吸收公众存款；发放短期、中期和长期贷款；办理国内结算；办理票据承兑与贴现</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保函</w:t>
      </w:r>
      <w:r>
        <w:rPr>
          <w:rFonts w:hint="eastAsia" w:ascii="仿宋_GB2312" w:hAnsi="仿宋_GB2312" w:eastAsia="仿宋_GB2312" w:cs="仿宋_GB2312"/>
          <w:b w:val="0"/>
          <w:bCs w:val="0"/>
          <w:sz w:val="32"/>
          <w:szCs w:val="32"/>
          <w:highlight w:val="none"/>
        </w:rPr>
        <w:t>；从事同业拆借；从事银行卡业务；代理发行</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兑付、承销政府债券；代理收付款项及代理保险业务；经银行业监督管理机构批准的其他业务（以</w:t>
      </w:r>
      <w:r>
        <w:rPr>
          <w:rFonts w:hint="eastAsia" w:ascii="仿宋_GB2312" w:hAnsi="仿宋_GB2312" w:eastAsia="仿宋_GB2312" w:cs="仿宋_GB2312"/>
          <w:b w:val="0"/>
          <w:bCs w:val="0"/>
          <w:sz w:val="32"/>
          <w:szCs w:val="32"/>
          <w:highlight w:val="none"/>
          <w:lang w:eastAsia="zh-CN"/>
        </w:rPr>
        <w:t>中国银行保险监督管理委员会</w:t>
      </w:r>
      <w:r>
        <w:rPr>
          <w:rFonts w:hint="eastAsia" w:ascii="仿宋_GB2312" w:hAnsi="仿宋_GB2312" w:eastAsia="仿宋_GB2312" w:cs="仿宋_GB2312"/>
          <w:b w:val="0"/>
          <w:bCs w:val="0"/>
          <w:sz w:val="32"/>
          <w:szCs w:val="32"/>
          <w:highlight w:val="none"/>
        </w:rPr>
        <w:t>批准的经营范围为准）。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八、客服和投诉电话：</w:t>
      </w:r>
      <w:r>
        <w:rPr>
          <w:rFonts w:hint="eastAsia" w:ascii="仿宋_GB2312" w:hAnsi="仿宋_GB2312" w:eastAsia="仿宋_GB2312" w:cs="仿宋_GB2312"/>
          <w:b w:val="0"/>
          <w:bCs w:val="0"/>
          <w:sz w:val="32"/>
          <w:szCs w:val="32"/>
          <w:highlight w:val="none"/>
        </w:rPr>
        <w:t>0635-5083338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九、</w:t>
      </w:r>
      <w:r>
        <w:rPr>
          <w:rFonts w:hint="eastAsia" w:ascii="仿宋_GB2312" w:hAnsi="仿宋_GB2312" w:eastAsia="仿宋_GB2312" w:cs="仿宋_GB2312"/>
          <w:b w:val="0"/>
          <w:bCs w:val="0"/>
          <w:sz w:val="32"/>
          <w:szCs w:val="32"/>
          <w:highlight w:val="none"/>
        </w:rPr>
        <w:t>选定的信息披露方式</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本行网站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十</w:t>
      </w:r>
      <w:r>
        <w:rPr>
          <w:rFonts w:hint="eastAsia" w:ascii="仿宋_GB2312" w:hAnsi="仿宋_GB2312" w:eastAsia="仿宋_GB2312" w:cs="仿宋_GB2312"/>
          <w:b w:val="0"/>
          <w:bCs w:val="0"/>
          <w:sz w:val="32"/>
          <w:szCs w:val="32"/>
          <w:highlight w:val="none"/>
        </w:rPr>
        <w:t>、其他有关信息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本行经中国银行</w:t>
      </w:r>
      <w:r>
        <w:rPr>
          <w:rFonts w:hint="eastAsia" w:ascii="仿宋_GB2312" w:hAnsi="仿宋_GB2312" w:eastAsia="仿宋_GB2312" w:cs="仿宋_GB2312"/>
          <w:b w:val="0"/>
          <w:bCs w:val="0"/>
          <w:sz w:val="32"/>
          <w:szCs w:val="32"/>
          <w:highlight w:val="none"/>
          <w:lang w:val="en-US" w:eastAsia="zh-CN"/>
        </w:rPr>
        <w:t>业</w:t>
      </w:r>
      <w:r>
        <w:rPr>
          <w:rFonts w:hint="eastAsia" w:ascii="仿宋_GB2312" w:hAnsi="仿宋_GB2312" w:eastAsia="仿宋_GB2312" w:cs="仿宋_GB2312"/>
          <w:b w:val="0"/>
          <w:bCs w:val="0"/>
          <w:sz w:val="32"/>
          <w:szCs w:val="32"/>
          <w:highlight w:val="none"/>
        </w:rPr>
        <w:t>监督管理委员会</w:t>
      </w:r>
      <w:r>
        <w:rPr>
          <w:rFonts w:hint="eastAsia" w:ascii="仿宋_GB2312" w:hAnsi="仿宋_GB2312" w:eastAsia="仿宋_GB2312" w:cs="仿宋_GB2312"/>
          <w:b w:val="0"/>
          <w:bCs w:val="0"/>
          <w:sz w:val="32"/>
          <w:szCs w:val="32"/>
          <w:highlight w:val="none"/>
          <w:lang w:val="en-US" w:eastAsia="zh-CN"/>
        </w:rPr>
        <w:t>聊城监管分局</w:t>
      </w:r>
      <w:r>
        <w:rPr>
          <w:rFonts w:hint="eastAsia" w:ascii="仿宋_GB2312" w:hAnsi="仿宋_GB2312" w:eastAsia="仿宋_GB2312" w:cs="仿宋_GB2312"/>
          <w:b w:val="0"/>
          <w:bCs w:val="0"/>
          <w:sz w:val="32"/>
          <w:szCs w:val="32"/>
          <w:highlight w:val="none"/>
        </w:rPr>
        <w:t>批准，批准日期：201</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年</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月3</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金融许可证机构编码：S0043H337150001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注册登记日期：2012年6月5日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登记地点：聊城市工商行政管理局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经济性质：其他股份有限公司（非上市）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统一社会信用代码：913715005978105663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本行下辖1家分支机构。</w:t>
      </w:r>
    </w:p>
    <w:p>
      <w:pPr>
        <w:pStyle w:val="2"/>
        <w:keepNext w:val="0"/>
        <w:keepLines w:val="0"/>
        <w:pageBreakBefore w:val="0"/>
        <w:widowControl w:val="0"/>
        <w:kinsoku/>
        <w:wordWrap/>
        <w:overflowPunct/>
        <w:topLinePunct w:val="0"/>
        <w:autoSpaceDE/>
        <w:autoSpaceDN/>
        <w:bidi w:val="0"/>
        <w:adjustRightInd/>
        <w:snapToGrid/>
        <w:spacing w:line="600" w:lineRule="exact"/>
        <w:ind w:left="317" w:firstLine="584"/>
        <w:textAlignment w:val="auto"/>
        <w:rPr>
          <w:rFonts w:hint="eastAsia"/>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社会责任关键绩效</w:t>
      </w:r>
    </w:p>
    <w:tbl>
      <w:tblPr>
        <w:tblStyle w:val="12"/>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1134"/>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shd w:val="clear" w:color="auto" w:fill="DEEBF6" w:themeFill="accent1" w:themeFillTint="32"/>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指标</w:t>
            </w:r>
          </w:p>
        </w:tc>
        <w:tc>
          <w:tcPr>
            <w:tcW w:w="1134" w:type="dxa"/>
            <w:shd w:val="clear" w:color="auto" w:fill="DEEBF6" w:themeFill="accent1" w:themeFillTint="32"/>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单位</w:t>
            </w:r>
          </w:p>
        </w:tc>
        <w:tc>
          <w:tcPr>
            <w:tcW w:w="1701" w:type="dxa"/>
            <w:shd w:val="clear" w:color="auto" w:fill="DEEBF6" w:themeFill="accent1" w:themeFillTint="32"/>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2025年</w:t>
            </w:r>
          </w:p>
        </w:tc>
        <w:tc>
          <w:tcPr>
            <w:tcW w:w="1701" w:type="dxa"/>
            <w:shd w:val="clear" w:color="auto" w:fill="DEEBF6" w:themeFill="accent1" w:themeFillTint="32"/>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2024年</w:t>
            </w:r>
          </w:p>
        </w:tc>
        <w:tc>
          <w:tcPr>
            <w:tcW w:w="1701" w:type="dxa"/>
            <w:shd w:val="clear" w:color="auto" w:fill="DEEBF6" w:themeFill="accent1" w:themeFillTint="32"/>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2" w:type="dxa"/>
            <w:gridSpan w:val="5"/>
            <w:shd w:val="clear" w:color="auto" w:fill="DEEBF6" w:themeFill="accent1" w:themeFillTint="32"/>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经济责任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资产总额</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万元</w:t>
            </w:r>
          </w:p>
        </w:tc>
        <w:tc>
          <w:tcPr>
            <w:tcW w:w="1701" w:type="dxa"/>
            <w:vAlign w:val="center"/>
          </w:tcPr>
          <w:p>
            <w:pPr>
              <w:keepNext w:val="0"/>
              <w:keepLines w:val="0"/>
              <w:widowControl/>
              <w:suppressLineNumbers w:val="0"/>
              <w:jc w:val="center"/>
              <w:textAlignment w:val="center"/>
              <w:rPr>
                <w:rFonts w:hint="default"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57856.36</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65320.75</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67477.65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存款余额</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万元</w:t>
            </w:r>
          </w:p>
        </w:tc>
        <w:tc>
          <w:tcPr>
            <w:tcW w:w="1701" w:type="dxa"/>
            <w:vAlign w:val="center"/>
          </w:tcPr>
          <w:p>
            <w:pPr>
              <w:keepNext w:val="0"/>
              <w:keepLines w:val="0"/>
              <w:widowControl/>
              <w:suppressLineNumbers w:val="0"/>
              <w:jc w:val="center"/>
              <w:textAlignment w:val="center"/>
              <w:rPr>
                <w:rFonts w:hint="default"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i w:val="0"/>
                <w:color w:val="000000"/>
                <w:kern w:val="0"/>
                <w:sz w:val="24"/>
                <w:szCs w:val="24"/>
                <w:highlight w:val="none"/>
                <w:u w:val="none"/>
                <w:lang w:val="en-US" w:eastAsia="zh-CN" w:bidi="ar"/>
              </w:rPr>
              <w:t>51259.15</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57023.33</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59271.37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贷款余额</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万元</w:t>
            </w:r>
          </w:p>
        </w:tc>
        <w:tc>
          <w:tcPr>
            <w:tcW w:w="1701" w:type="dxa"/>
            <w:vAlign w:val="center"/>
          </w:tcPr>
          <w:p>
            <w:pPr>
              <w:keepNext w:val="0"/>
              <w:keepLines w:val="0"/>
              <w:widowControl/>
              <w:suppressLineNumbers w:val="0"/>
              <w:jc w:val="center"/>
              <w:textAlignment w:val="center"/>
              <w:rPr>
                <w:rFonts w:hint="default"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i w:val="0"/>
                <w:color w:val="000000"/>
                <w:kern w:val="0"/>
                <w:sz w:val="24"/>
                <w:szCs w:val="24"/>
                <w:highlight w:val="none"/>
                <w:u w:val="none"/>
                <w:lang w:val="en-US" w:eastAsia="zh-CN" w:bidi="ar"/>
              </w:rPr>
              <w:t>48296.8</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46688.15</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40140.1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营业收入</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万元</w:t>
            </w:r>
          </w:p>
        </w:tc>
        <w:tc>
          <w:tcPr>
            <w:tcW w:w="1701" w:type="dxa"/>
            <w:vAlign w:val="center"/>
          </w:tcPr>
          <w:p>
            <w:pPr>
              <w:keepNext w:val="0"/>
              <w:keepLines w:val="0"/>
              <w:widowControl/>
              <w:suppressLineNumbers w:val="0"/>
              <w:jc w:val="center"/>
              <w:textAlignment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i w:val="0"/>
                <w:color w:val="000000"/>
                <w:kern w:val="0"/>
                <w:sz w:val="24"/>
                <w:szCs w:val="24"/>
                <w:highlight w:val="none"/>
                <w:u w:val="none"/>
                <w:lang w:val="en-US" w:eastAsia="zh-CN" w:bidi="ar"/>
              </w:rPr>
              <w:t>1732.97</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1892.97</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1330.86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员工薪酬</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万元</w:t>
            </w:r>
          </w:p>
        </w:tc>
        <w:tc>
          <w:tcPr>
            <w:tcW w:w="1701" w:type="dxa"/>
            <w:vAlign w:val="center"/>
          </w:tcPr>
          <w:p>
            <w:pPr>
              <w:keepNext w:val="0"/>
              <w:keepLines w:val="0"/>
              <w:widowControl/>
              <w:suppressLineNumbers w:val="0"/>
              <w:jc w:val="center"/>
              <w:textAlignment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i w:val="0"/>
                <w:color w:val="000000"/>
                <w:kern w:val="0"/>
                <w:sz w:val="24"/>
                <w:szCs w:val="24"/>
                <w:highlight w:val="none"/>
                <w:u w:val="none"/>
                <w:lang w:val="en-US" w:eastAsia="zh-CN" w:bidi="ar"/>
              </w:rPr>
              <w:t>897.01</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1056.29</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503.41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利息支出</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万元</w:t>
            </w:r>
          </w:p>
        </w:tc>
        <w:tc>
          <w:tcPr>
            <w:tcW w:w="1701" w:type="dxa"/>
            <w:vAlign w:val="center"/>
          </w:tcPr>
          <w:p>
            <w:pPr>
              <w:keepNext w:val="0"/>
              <w:keepLines w:val="0"/>
              <w:widowControl/>
              <w:suppressLineNumbers w:val="0"/>
              <w:jc w:val="center"/>
              <w:textAlignment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i w:val="0"/>
                <w:color w:val="000000"/>
                <w:kern w:val="0"/>
                <w:sz w:val="24"/>
                <w:szCs w:val="24"/>
                <w:highlight w:val="none"/>
                <w:u w:val="none"/>
                <w:lang w:val="en-US" w:eastAsia="zh-CN" w:bidi="ar"/>
              </w:rPr>
              <w:t>1337.44</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1565.94</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1737.33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纳税总额</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万元</w:t>
            </w:r>
          </w:p>
        </w:tc>
        <w:tc>
          <w:tcPr>
            <w:tcW w:w="1701" w:type="dxa"/>
            <w:vAlign w:val="center"/>
          </w:tcPr>
          <w:p>
            <w:pPr>
              <w:keepNext w:val="0"/>
              <w:keepLines w:val="0"/>
              <w:widowControl/>
              <w:suppressLineNumbers w:val="0"/>
              <w:jc w:val="center"/>
              <w:textAlignment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i w:val="0"/>
                <w:color w:val="000000"/>
                <w:kern w:val="0"/>
                <w:sz w:val="24"/>
                <w:szCs w:val="24"/>
                <w:highlight w:val="none"/>
                <w:u w:val="none"/>
                <w:lang w:val="en-US" w:eastAsia="zh-CN" w:bidi="ar"/>
              </w:rPr>
              <w:t>46.87</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62.85</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76.18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净利润</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万元</w:t>
            </w:r>
          </w:p>
        </w:tc>
        <w:tc>
          <w:tcPr>
            <w:tcW w:w="1701" w:type="dxa"/>
            <w:vAlign w:val="center"/>
          </w:tcPr>
          <w:p>
            <w:pPr>
              <w:keepNext w:val="0"/>
              <w:keepLines w:val="0"/>
              <w:widowControl/>
              <w:suppressLineNumbers w:val="0"/>
              <w:jc w:val="center"/>
              <w:textAlignment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i w:val="0"/>
                <w:color w:val="000000"/>
                <w:kern w:val="0"/>
                <w:sz w:val="24"/>
                <w:szCs w:val="24"/>
                <w:highlight w:val="none"/>
                <w:u w:val="none"/>
                <w:lang w:val="en-US" w:eastAsia="zh-CN" w:bidi="ar"/>
              </w:rPr>
              <w:t>-889.62</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57.43</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资产收益率</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1701" w:type="dxa"/>
            <w:vAlign w:val="center"/>
          </w:tcPr>
          <w:p>
            <w:pPr>
              <w:keepNext w:val="0"/>
              <w:keepLines w:val="0"/>
              <w:widowControl/>
              <w:suppressLineNumbers w:val="0"/>
              <w:jc w:val="center"/>
              <w:textAlignment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i w:val="0"/>
                <w:color w:val="000000"/>
                <w:kern w:val="0"/>
                <w:sz w:val="24"/>
                <w:szCs w:val="24"/>
                <w:highlight w:val="none"/>
                <w:u w:val="none"/>
                <w:lang w:val="en-US" w:eastAsia="zh-CN" w:bidi="ar"/>
              </w:rPr>
              <w:t>-1.45</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0.09</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净资产收益率</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1701" w:type="dxa"/>
            <w:vAlign w:val="center"/>
          </w:tcPr>
          <w:p>
            <w:pPr>
              <w:keepNext w:val="0"/>
              <w:keepLines w:val="0"/>
              <w:widowControl/>
              <w:suppressLineNumbers w:val="0"/>
              <w:jc w:val="center"/>
              <w:textAlignment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i w:val="0"/>
                <w:color w:val="000000"/>
                <w:kern w:val="0"/>
                <w:sz w:val="24"/>
                <w:szCs w:val="24"/>
                <w:highlight w:val="none"/>
                <w:u w:val="none"/>
                <w:lang w:val="en-US" w:eastAsia="zh-CN" w:bidi="ar"/>
              </w:rPr>
              <w:t>-18.58</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1.10</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核心一级资本充足率</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12.5</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14.90</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资本充足率</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15.41</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16.77</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不良贷款率</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2.54</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1.57</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拨备覆盖率</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182.13</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188.19</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170.27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涉农贷款余额</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万元</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kern w:val="2"/>
                <w:sz w:val="24"/>
                <w:szCs w:val="24"/>
                <w:highlight w:val="none"/>
                <w:vertAlign w:val="baseline"/>
                <w:lang w:val="en-US" w:eastAsia="zh-CN" w:bidi="ar-SA"/>
              </w:rPr>
            </w:pPr>
            <w:r>
              <w:rPr>
                <w:rFonts w:hint="default" w:ascii="仿宋" w:hAnsi="仿宋" w:eastAsia="仿宋" w:cs="仿宋"/>
                <w:b w:val="0"/>
                <w:bCs w:val="0"/>
                <w:sz w:val="24"/>
                <w:szCs w:val="24"/>
                <w:highlight w:val="none"/>
                <w:vertAlign w:val="baseline"/>
                <w:lang w:val="en-US" w:eastAsia="zh-CN"/>
              </w:rPr>
              <w:t>45915.32</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44339.97 </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37525.77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小微企业贷款余额</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万元</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kern w:val="2"/>
                <w:sz w:val="24"/>
                <w:szCs w:val="24"/>
                <w:highlight w:val="none"/>
                <w:vertAlign w:val="baseline"/>
                <w:lang w:val="en-US" w:eastAsia="zh-CN" w:bidi="ar-SA"/>
              </w:rPr>
            </w:pPr>
            <w:r>
              <w:rPr>
                <w:rFonts w:hint="default" w:ascii="仿宋" w:hAnsi="仿宋" w:eastAsia="仿宋" w:cs="仿宋"/>
                <w:b w:val="0"/>
                <w:bCs w:val="0"/>
                <w:sz w:val="24"/>
                <w:szCs w:val="24"/>
                <w:highlight w:val="none"/>
                <w:vertAlign w:val="baseline"/>
                <w:lang w:val="en-US" w:eastAsia="zh-CN"/>
              </w:rPr>
              <w:t>43039.6</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40162.88 </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31622.56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2" w:type="dxa"/>
            <w:gridSpan w:val="5"/>
            <w:shd w:val="clear" w:color="auto" w:fill="DEEBF6" w:themeFill="accent1" w:themeFillTint="32"/>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tabs>
                <w:tab w:val="left" w:pos="1890"/>
              </w:tabs>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消费者权益保护费支出</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万元</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员工总数</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人</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51</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53</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女性员工占比</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59</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55</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员工流失率</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17</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2" w:type="dxa"/>
            <w:gridSpan w:val="5"/>
            <w:shd w:val="clear" w:color="auto" w:fill="DEEBF6" w:themeFill="accent1" w:themeFillTint="32"/>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环境责任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人均办公耗电</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度</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1425.34</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1410.11</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1420.25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人均办公耗水</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吨</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20.67</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22.02</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人均办公用纸</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万张</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0.52</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0.53</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人均公务车油耗</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升</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127.76</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117.13</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118.95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视频会议覆盖率</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88</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87</w:t>
            </w:r>
          </w:p>
        </w:tc>
        <w:tc>
          <w:tcPr>
            <w:tcW w:w="1701"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85</w:t>
            </w:r>
          </w:p>
        </w:tc>
      </w:tr>
    </w:tbl>
    <w:p>
      <w:pPr>
        <w:keepNext w:val="0"/>
        <w:keepLines w:val="0"/>
        <w:pageBreakBefore w:val="0"/>
        <w:kinsoku/>
        <w:wordWrap/>
        <w:overflowPunct/>
        <w:topLinePunct w:val="0"/>
        <w:autoSpaceDE/>
        <w:autoSpaceDN/>
        <w:bidi w:val="0"/>
        <w:snapToGrid/>
        <w:spacing w:line="600" w:lineRule="exact"/>
        <w:textAlignment w:val="auto"/>
        <w:rPr>
          <w:rFonts w:hint="eastAsia" w:ascii="仿宋" w:hAnsi="仿宋" w:eastAsia="仿宋" w:cs="仿宋"/>
          <w:b/>
          <w:bCs/>
          <w:sz w:val="28"/>
          <w:szCs w:val="28"/>
          <w:highlight w:val="yellow"/>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第二节 社会责任理念</w:t>
      </w:r>
    </w:p>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社会责任核心理念与目标</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本行致力于建立优良的社会责任观，将社会责任融入经营管理实践，建设有效的利益相关责任方参与机制，主动承担经济、社会、环境责任，促进自身利益和利益相关方的共同可持续发展。</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本行充分发挥</w:t>
      </w:r>
      <w:r>
        <w:rPr>
          <w:rFonts w:hint="eastAsia" w:ascii="仿宋_GB2312" w:hAnsi="仿宋_GB2312" w:eastAsia="仿宋_GB2312" w:cs="仿宋_GB2312"/>
          <w:sz w:val="32"/>
          <w:szCs w:val="32"/>
          <w:highlight w:val="none"/>
        </w:rPr>
        <w:t>地</w:t>
      </w:r>
      <w:r>
        <w:rPr>
          <w:rFonts w:hint="eastAsia" w:ascii="仿宋_GB2312" w:hAnsi="仿宋_GB2312" w:eastAsia="仿宋_GB2312" w:cs="仿宋_GB2312"/>
          <w:b w:val="0"/>
          <w:bCs w:val="0"/>
          <w:sz w:val="32"/>
          <w:szCs w:val="32"/>
          <w:lang w:val="en-US" w:eastAsia="zh-CN"/>
        </w:rPr>
        <w:t>域优势，因地制宜、精准施策，下沉服务重心至乡镇乡村，持续输血，攻坚乡村振兴“最后一公里”；强化支农支小战略定力，将主发起行国企资源与村行地处一线两大优势相结合，把更多金融资源配置到农村重点领域和薄弱环节，与主发起行上下联动，共同践行普惠金融的使命，让乡村振兴成果惠及更多农民群众。</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本行努力提升服务质量、保障金融消费者权益；关爱员工发展，积极投身公益慈善，弘扬志愿精神；实施绿色信贷，拓宽绿色金融服务渠道，履行环境友好责任，推进多方面积极影响。</w:t>
      </w:r>
    </w:p>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社会责任领域</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本行业务团</w:t>
      </w:r>
      <w:r>
        <w:rPr>
          <w:rFonts w:hint="eastAsia" w:ascii="仿宋_GB2312" w:hAnsi="仿宋_GB2312" w:eastAsia="仿宋_GB2312" w:cs="仿宋_GB2312"/>
          <w:b w:val="0"/>
          <w:bCs w:val="0"/>
          <w:sz w:val="32"/>
          <w:szCs w:val="32"/>
          <w:highlight w:val="none"/>
        </w:rPr>
        <w:t>队</w:t>
      </w:r>
      <w:r>
        <w:rPr>
          <w:rFonts w:hint="eastAsia" w:ascii="仿宋_GB2312" w:hAnsi="仿宋_GB2312" w:eastAsia="仿宋_GB2312" w:cs="仿宋_GB2312"/>
          <w:b w:val="0"/>
          <w:bCs w:val="0"/>
          <w:sz w:val="32"/>
          <w:szCs w:val="32"/>
          <w:highlight w:val="none"/>
          <w:lang w:val="en-US" w:eastAsia="zh-CN"/>
        </w:rPr>
        <w:t>以</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普惠金融</w:t>
      </w:r>
      <w:r>
        <w:rPr>
          <w:rFonts w:hint="eastAsia" w:ascii="仿宋_GB2312" w:hAnsi="仿宋_GB2312" w:eastAsia="仿宋_GB2312" w:cs="仿宋_GB2312"/>
          <w:b w:val="0"/>
          <w:bCs w:val="0"/>
          <w:sz w:val="32"/>
          <w:szCs w:val="32"/>
          <w:highlight w:val="none"/>
        </w:rPr>
        <w:t>助力百姓美好生活”</w:t>
      </w:r>
      <w:r>
        <w:rPr>
          <w:rFonts w:hint="eastAsia" w:ascii="仿宋_GB2312" w:hAnsi="仿宋_GB2312" w:eastAsia="仿宋_GB2312" w:cs="仿宋_GB2312"/>
          <w:b w:val="0"/>
          <w:bCs w:val="0"/>
          <w:sz w:val="32"/>
          <w:szCs w:val="32"/>
          <w:highlight w:val="none"/>
          <w:lang w:val="en-US" w:eastAsia="zh-CN"/>
        </w:rPr>
        <w:t>为使命，</w:t>
      </w:r>
      <w:r>
        <w:rPr>
          <w:rFonts w:hint="eastAsia" w:ascii="仿宋_GB2312" w:hAnsi="仿宋_GB2312" w:eastAsia="仿宋_GB2312" w:cs="仿宋_GB2312"/>
          <w:b w:val="0"/>
          <w:bCs w:val="0"/>
          <w:sz w:val="32"/>
          <w:szCs w:val="32"/>
          <w:highlight w:val="none"/>
        </w:rPr>
        <w:t>秉承“</w:t>
      </w:r>
      <w:r>
        <w:rPr>
          <w:rFonts w:hint="eastAsia" w:ascii="仿宋_GB2312" w:hAnsi="仿宋_GB2312" w:eastAsia="仿宋_GB2312" w:cs="仿宋_GB2312"/>
          <w:b w:val="0"/>
          <w:bCs w:val="0"/>
          <w:sz w:val="32"/>
          <w:szCs w:val="32"/>
          <w:highlight w:val="none"/>
          <w:lang w:val="en-US" w:eastAsia="zh-CN"/>
        </w:rPr>
        <w:t>支农支小</w:t>
      </w:r>
      <w:r>
        <w:rPr>
          <w:rFonts w:hint="eastAsia" w:ascii="仿宋_GB2312" w:hAnsi="仿宋_GB2312" w:eastAsia="仿宋_GB2312" w:cs="仿宋_GB2312"/>
          <w:b w:val="0"/>
          <w:bCs w:val="0"/>
          <w:sz w:val="32"/>
          <w:szCs w:val="32"/>
          <w:highlight w:val="none"/>
        </w:rPr>
        <w:t>”的市场定位,弘扬奋斗者文化,</w:t>
      </w:r>
      <w:r>
        <w:rPr>
          <w:rFonts w:hint="eastAsia" w:ascii="仿宋_GB2312" w:hAnsi="仿宋_GB2312" w:eastAsia="仿宋_GB2312" w:cs="仿宋_GB2312"/>
          <w:b w:val="0"/>
          <w:bCs w:val="0"/>
          <w:sz w:val="32"/>
          <w:szCs w:val="32"/>
          <w:highlight w:val="none"/>
          <w:lang w:val="en-US" w:eastAsia="zh-CN"/>
        </w:rPr>
        <w:t>坚持以客户为中心、努力提升</w:t>
      </w:r>
      <w:r>
        <w:rPr>
          <w:rFonts w:hint="eastAsia" w:ascii="仿宋_GB2312" w:hAnsi="仿宋_GB2312" w:eastAsia="仿宋_GB2312" w:cs="仿宋_GB2312"/>
          <w:b w:val="0"/>
          <w:bCs w:val="0"/>
          <w:sz w:val="32"/>
          <w:szCs w:val="32"/>
          <w:highlight w:val="none"/>
        </w:rPr>
        <w:t>客户满意</w:t>
      </w:r>
      <w:r>
        <w:rPr>
          <w:rFonts w:hint="eastAsia" w:ascii="仿宋_GB2312" w:hAnsi="仿宋_GB2312" w:eastAsia="仿宋_GB2312" w:cs="仿宋_GB2312"/>
          <w:b w:val="0"/>
          <w:bCs w:val="0"/>
          <w:sz w:val="32"/>
          <w:szCs w:val="32"/>
          <w:highlight w:val="none"/>
          <w:lang w:val="en-US" w:eastAsia="zh-CN"/>
        </w:rPr>
        <w:t>度</w:t>
      </w:r>
      <w:r>
        <w:rPr>
          <w:rFonts w:hint="eastAsia" w:ascii="仿宋_GB2312" w:hAnsi="仿宋_GB2312" w:eastAsia="仿宋_GB2312" w:cs="仿宋_GB2312"/>
          <w:b w:val="0"/>
          <w:bCs w:val="0"/>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提高服务质量和营运效率，优化服务流程，保证客户金融安全，提升客户服务体验。一是优化网点硬件设施，提供便利化服务，大厅内为客户提供按摩椅，爱心座椅。二是提升窗口服务质量，树立良好的社会形象。通过采取现场检查和非现场检查相结合的方式，对总行运营管理部、香江支行营业部服务质量按季检查，加强对柜面人员服务质量的检查监督，将“优服”理念根植于心，固化于制，外化于形，提升知名度和美誉度，促进业务发展。三是强化临柜员工素质提升力度。指定每周一为运营条线员工的集中学习时间，学习内容不限于业务操作、技能练习、规章制度学习等。在夯实临柜人员业务操作规范的基础上，提升临柜员工的业务知识储备，提高服务效率。</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本行业务团队以</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普惠金融</w:t>
      </w:r>
      <w:r>
        <w:rPr>
          <w:rFonts w:hint="eastAsia" w:ascii="仿宋_GB2312" w:hAnsi="仿宋_GB2312" w:eastAsia="仿宋_GB2312" w:cs="仿宋_GB2312"/>
          <w:b w:val="0"/>
          <w:bCs w:val="0"/>
          <w:sz w:val="32"/>
          <w:szCs w:val="32"/>
          <w:highlight w:val="none"/>
        </w:rPr>
        <w:t>助力百姓美好生活”</w:t>
      </w:r>
      <w:r>
        <w:rPr>
          <w:rFonts w:hint="eastAsia" w:ascii="仿宋_GB2312" w:hAnsi="仿宋_GB2312" w:eastAsia="仿宋_GB2312" w:cs="仿宋_GB2312"/>
          <w:b w:val="0"/>
          <w:bCs w:val="0"/>
          <w:sz w:val="32"/>
          <w:szCs w:val="32"/>
          <w:highlight w:val="none"/>
          <w:lang w:val="en-US" w:eastAsia="zh-CN"/>
        </w:rPr>
        <w:t>为使命，</w:t>
      </w:r>
      <w:r>
        <w:rPr>
          <w:rFonts w:hint="eastAsia" w:ascii="仿宋_GB2312" w:hAnsi="仿宋_GB2312" w:eastAsia="仿宋_GB2312" w:cs="仿宋_GB2312"/>
          <w:b w:val="0"/>
          <w:bCs w:val="0"/>
          <w:sz w:val="32"/>
          <w:szCs w:val="32"/>
          <w:highlight w:val="none"/>
        </w:rPr>
        <w:t>秉承“</w:t>
      </w:r>
      <w:r>
        <w:rPr>
          <w:rFonts w:hint="eastAsia" w:ascii="仿宋_GB2312" w:hAnsi="仿宋_GB2312" w:eastAsia="仿宋_GB2312" w:cs="仿宋_GB2312"/>
          <w:b w:val="0"/>
          <w:bCs w:val="0"/>
          <w:sz w:val="32"/>
          <w:szCs w:val="32"/>
          <w:highlight w:val="none"/>
          <w:lang w:val="en-US" w:eastAsia="zh-CN"/>
        </w:rPr>
        <w:t>支农支小</w:t>
      </w:r>
      <w:r>
        <w:rPr>
          <w:rFonts w:hint="eastAsia" w:ascii="仿宋_GB2312" w:hAnsi="仿宋_GB2312" w:eastAsia="仿宋_GB2312" w:cs="仿宋_GB2312"/>
          <w:b w:val="0"/>
          <w:bCs w:val="0"/>
          <w:sz w:val="32"/>
          <w:szCs w:val="32"/>
          <w:highlight w:val="none"/>
        </w:rPr>
        <w:t>”的市场定位,弘扬奋斗者文化,</w:t>
      </w:r>
      <w:r>
        <w:rPr>
          <w:rFonts w:hint="eastAsia" w:ascii="仿宋_GB2312" w:hAnsi="仿宋_GB2312" w:eastAsia="仿宋_GB2312" w:cs="仿宋_GB2312"/>
          <w:b w:val="0"/>
          <w:bCs w:val="0"/>
          <w:sz w:val="32"/>
          <w:szCs w:val="32"/>
          <w:highlight w:val="none"/>
          <w:lang w:val="en-US" w:eastAsia="zh-CN"/>
        </w:rPr>
        <w:t>坚持以客户为中心、努力提升</w:t>
      </w:r>
      <w:r>
        <w:rPr>
          <w:rFonts w:hint="eastAsia" w:ascii="仿宋_GB2312" w:hAnsi="仿宋_GB2312" w:eastAsia="仿宋_GB2312" w:cs="仿宋_GB2312"/>
          <w:b w:val="0"/>
          <w:bCs w:val="0"/>
          <w:sz w:val="32"/>
          <w:szCs w:val="32"/>
          <w:highlight w:val="none"/>
        </w:rPr>
        <w:t>客户满意</w:t>
      </w:r>
      <w:r>
        <w:rPr>
          <w:rFonts w:hint="eastAsia" w:ascii="仿宋_GB2312" w:hAnsi="仿宋_GB2312" w:eastAsia="仿宋_GB2312" w:cs="仿宋_GB2312"/>
          <w:b w:val="0"/>
          <w:bCs w:val="0"/>
          <w:sz w:val="32"/>
          <w:szCs w:val="32"/>
          <w:highlight w:val="none"/>
          <w:lang w:val="en-US" w:eastAsia="zh-CN"/>
        </w:rPr>
        <w:t>度</w:t>
      </w:r>
      <w:r>
        <w:rPr>
          <w:rFonts w:hint="eastAsia" w:ascii="仿宋_GB2312" w:hAnsi="仿宋_GB2312" w:eastAsia="仿宋_GB2312" w:cs="仿宋_GB2312"/>
          <w:b w:val="0"/>
          <w:bCs w:val="0"/>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业务团队积极融入当地经济发展熔炉，深入了解县域特色产业，为践行普惠金融助力百姓美好生活之路，本行在原有支农支小体系建设上进行了积极探索，结合客户经理不同区域资源优势，将聊城乡镇、街道细分服务区域，实行客户经理划片式管理，客户经理对于分管乡镇、街道积极宣讲政策和金融产品，为更便捷、更高效地服务普惠金融工作奠定了良好的基础，积极推进金融服务。</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drawing>
          <wp:anchor distT="0" distB="0" distL="114300" distR="114300" simplePos="0" relativeHeight="251659264" behindDoc="0" locked="0" layoutInCell="1" allowOverlap="1">
            <wp:simplePos x="0" y="0"/>
            <wp:positionH relativeFrom="column">
              <wp:posOffset>107315</wp:posOffset>
            </wp:positionH>
            <wp:positionV relativeFrom="paragraph">
              <wp:posOffset>201295</wp:posOffset>
            </wp:positionV>
            <wp:extent cx="5101590" cy="2715260"/>
            <wp:effectExtent l="0" t="0" r="3810" b="8890"/>
            <wp:wrapTopAndBottom/>
            <wp:docPr id="2" name="图片 2" descr="186664786294080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866647862940801914"/>
                    <pic:cNvPicPr>
                      <a:picLocks noChangeAspect="1"/>
                    </pic:cNvPicPr>
                  </pic:nvPicPr>
                  <pic:blipFill>
                    <a:blip r:embed="rId6"/>
                    <a:stretch>
                      <a:fillRect/>
                    </a:stretch>
                  </pic:blipFill>
                  <pic:spPr>
                    <a:xfrm>
                      <a:off x="0" y="0"/>
                      <a:ext cx="5101590" cy="2715260"/>
                    </a:xfrm>
                    <a:prstGeom prst="rect">
                      <a:avLst/>
                    </a:prstGeom>
                  </pic:spPr>
                </pic:pic>
              </a:graphicData>
            </a:graphic>
          </wp:anchor>
        </w:drawing>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社会责任管理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党建引领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本行</w:t>
      </w:r>
      <w:r>
        <w:rPr>
          <w:rFonts w:hint="eastAsia" w:ascii="仿宋_GB2312" w:hAnsi="仿宋_GB2312" w:eastAsia="仿宋_GB2312" w:cs="仿宋_GB2312"/>
          <w:b w:val="0"/>
          <w:bCs w:val="0"/>
          <w:kern w:val="2"/>
          <w:sz w:val="32"/>
          <w:szCs w:val="32"/>
          <w:highlight w:val="none"/>
          <w:lang w:val="en-US" w:eastAsia="zh-CN" w:bidi="ar-SA"/>
        </w:rPr>
        <w:t>认真贯彻落实上级党委工作要求，着力构建党的领导和公司治理有机融合的制度框架，把党的领导融入公司治理各环节，健全公司党组织议事决策机制。通过党建引领，进一步将全行思想统一到公司可持续发展能力和支持实体经济上，树立良好的社会声誉和品牌形象。加强监督管理，贯彻落实党风廉政建设主体责任,坚定不移正风肃纪，加强作风建设、强化执纪问责，以“阳光信贷”“合规文化”为道德标准，保持反腐败工作的高压态势，建立健全长效机制。加强干部理想信念教育，强化员工思想，坚持从严从实，加强行为管理监督，坚定理想信念，推动规范经营，积极营造风清气正、干事创业的环境。</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本行</w:t>
      </w:r>
      <w:r>
        <w:rPr>
          <w:rFonts w:hint="eastAsia" w:ascii="仿宋_GB2312" w:hAnsi="仿宋_GB2312" w:eastAsia="仿宋_GB2312" w:cs="仿宋_GB2312"/>
          <w:b w:val="0"/>
          <w:bCs w:val="0"/>
          <w:sz w:val="32"/>
          <w:szCs w:val="32"/>
          <w:highlight w:val="none"/>
          <w:lang w:val="en-US" w:eastAsia="zh-CN"/>
        </w:rPr>
        <w:t>认真贯彻学习制度，积极深入开展学习贯彻习近平新时代中国特色社会主义思想主题教育，认真履行教育、管理监督党员的职责，坚持把政治建设摆在首位，健全理论学习中心组制度，把学习贯彻习近平总书记重要讲话和重要指示批示精神作为第一议题。坚持读原著学原文悟原理，认真研读党的二十大报告和党章，学习《习近平著作选读》《习近平新时代中国特色社会主义思想专题摘编》《习近平关于城市工作论述摘编》等，以深入学习领会习近平新时代中国特色社会主义思想为主线，学习贯彻党的二十大精神，营造浓厚学习氛围，推动理论武装不断深入。</w:t>
      </w:r>
    </w:p>
    <w:p>
      <w:pPr>
        <w:keepNext w:val="0"/>
        <w:keepLines w:val="0"/>
        <w:pageBreakBefore w:val="0"/>
        <w:numPr>
          <w:ilvl w:val="0"/>
          <w:numId w:val="0"/>
        </w:numPr>
        <w:kinsoku/>
        <w:wordWrap/>
        <w:overflowPunct/>
        <w:topLinePunct w:val="0"/>
        <w:autoSpaceDE/>
        <w:autoSpaceDN/>
        <w:bidi w:val="0"/>
        <w:snapToGrid/>
        <w:spacing w:line="240" w:lineRule="auto"/>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坚持党建带团建，积极开展红色教育。为深入贯彻健康中国理念，丰富党支部文化生活，增强党员干部凝聚力与向心力，激励全体成员以饱满热情投身新一年工作，我党支部于2025年10月28日成功举办“健步迎新程，聚力赢未来”健步走比赛活动。活动全程组织有序、氛围热烈，达到了预期效果。</w:t>
      </w:r>
    </w:p>
    <w:p>
      <w:pPr>
        <w:pStyle w:val="2"/>
        <w:ind w:left="0" w:leftChars="0" w:firstLine="0" w:firstLineChars="0"/>
        <w:jc w:val="left"/>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drawing>
          <wp:inline distT="0" distB="0" distL="114300" distR="114300">
            <wp:extent cx="5198110" cy="3169285"/>
            <wp:effectExtent l="0" t="0" r="2540" b="12065"/>
            <wp:docPr id="5" name="图片 5" descr="14048644162273709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4048644162273709226"/>
                    <pic:cNvPicPr>
                      <a:picLocks noChangeAspect="1"/>
                    </pic:cNvPicPr>
                  </pic:nvPicPr>
                  <pic:blipFill>
                    <a:blip r:embed="rId7"/>
                    <a:stretch>
                      <a:fillRect/>
                    </a:stretch>
                  </pic:blipFill>
                  <pic:spPr>
                    <a:xfrm>
                      <a:off x="0" y="0"/>
                      <a:ext cx="5198110" cy="3169285"/>
                    </a:xfrm>
                    <a:prstGeom prst="rect">
                      <a:avLst/>
                    </a:prstGeom>
                  </pic:spPr>
                </pic:pic>
              </a:graphicData>
            </a:graphic>
          </wp:inline>
        </w:drawing>
      </w:r>
    </w:p>
    <w:p>
      <w:pPr>
        <w:pStyle w:val="2"/>
        <w:rPr>
          <w:rFonts w:hint="default" w:ascii="仿宋_GB2312" w:hAnsi="仿宋_GB2312" w:eastAsia="仿宋_GB2312" w:cs="仿宋_GB2312"/>
          <w:b w:val="0"/>
          <w:bCs w:val="0"/>
          <w:kern w:val="2"/>
          <w:sz w:val="32"/>
          <w:szCs w:val="32"/>
          <w:highlight w:val="none"/>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公司治理</w:t>
      </w:r>
    </w:p>
    <w:p>
      <w:pPr>
        <w:pStyle w:val="2"/>
        <w:ind w:left="0" w:leftChars="0" w:firstLine="0" w:firstLineChars="0"/>
        <w:rPr>
          <w:rFonts w:hint="default"/>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公司治理结构</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2025年，本行共召开股东大会3次、股东会1次，审议或听取议案33项。股东会（股东大会）的召集、召开，出席会议的人员资格，表决程序均符合法律、法规和公司章程的规定，股东会</w:t>
      </w:r>
      <w:bookmarkStart w:id="0" w:name="_GoBack"/>
      <w:bookmarkEnd w:id="0"/>
      <w:r>
        <w:rPr>
          <w:rFonts w:hint="eastAsia" w:ascii="仿宋_GB2312" w:hAnsi="仿宋_GB2312" w:eastAsia="仿宋_GB2312" w:cs="仿宋_GB2312"/>
          <w:b w:val="0"/>
          <w:bCs w:val="0"/>
          <w:sz w:val="32"/>
          <w:szCs w:val="32"/>
          <w:lang w:val="en-US" w:eastAsia="zh-CN"/>
        </w:rPr>
        <w:t>（股东大会）通过的各项决议合法有效。</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报告期内，本行董事会召开10次会议，审议或听取议案113项。全体董事诚信、专业、勤勉、尽责，严格按照《公司法》、公司章程和公司治理程序，切实保护股东的合法权益，关注和维护存款人和其他利益相关者的利益，有效履行受托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报告期内，本行高级管理层在董事会的授权和监事会的监督下，积极落实国家的法律法规和《公司章程》的有关规定，工作符合股东会和董事会的决议要求，坚持依法合规经营，稳步推进业务拓展与风险控制、探索创新与全面发展的有机结合，不断提升内控管理水平。</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行以“促合规、控风险、稳发展”为合规目标，在守法合规管理方面主抓内控合规治理框架、完善制度流程、细化内部问责标准、狠抓重要岗位关键人员管理等工作。在反腐倡廉、治理商业贿赂方面，本行实施企业内部风险控制，加强教育、监督、惩罚的力度，向各级工作人员传达“清廉金融”精神，开展廉洁从业教育和培训。</w:t>
      </w:r>
    </w:p>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投资者关系管理</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行不断加强投资者沟通交流，维护股东合法权益。2025年，本行根据中国银保监会办公厅《关于做好&lt;商业银行股权托管办法&gt;实施相关工作的通知》（银保监办发〔2019〕156号）启动了股权托管工作，进一步提高了股权透明度，提升了股东服务水平。</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default" w:ascii="仿宋" w:hAnsi="仿宋" w:eastAsia="仿宋" w:cs="仿宋"/>
          <w:b/>
          <w:bCs/>
          <w:sz w:val="28"/>
          <w:szCs w:val="28"/>
          <w:lang w:val="en-US" w:eastAsia="zh-CN"/>
        </w:rPr>
      </w:pPr>
      <w:r>
        <w:rPr>
          <w:rFonts w:hint="eastAsia" w:ascii="仿宋_GB2312" w:hAnsi="仿宋_GB2312" w:eastAsia="仿宋_GB2312" w:cs="仿宋_GB2312"/>
          <w:b/>
          <w:bCs/>
          <w:i w:val="0"/>
          <w:iCs w:val="0"/>
          <w:sz w:val="32"/>
          <w:szCs w:val="32"/>
          <w:lang w:val="en-US" w:eastAsia="zh-CN"/>
        </w:rPr>
        <w:t>利益相关方沟通</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118"/>
        <w:gridCol w:w="3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68" w:type="dxa"/>
            <w:shd w:val="clear" w:color="auto" w:fill="DEEBF6" w:themeFill="accent1" w:themeFillTint="32"/>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利益相关方</w:t>
            </w:r>
          </w:p>
        </w:tc>
        <w:tc>
          <w:tcPr>
            <w:tcW w:w="3118" w:type="dxa"/>
            <w:shd w:val="clear" w:color="auto" w:fill="DEEBF6" w:themeFill="accent1" w:themeFillTint="32"/>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期望</w:t>
            </w:r>
          </w:p>
        </w:tc>
        <w:tc>
          <w:tcPr>
            <w:tcW w:w="3968" w:type="dxa"/>
            <w:shd w:val="clear" w:color="auto" w:fill="DEEBF6" w:themeFill="accent1" w:themeFillTint="32"/>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回应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政府</w:t>
            </w:r>
          </w:p>
        </w:tc>
        <w:tc>
          <w:tcPr>
            <w:tcW w:w="311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支持实体经济建设</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落实乡村振兴工作部署</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促进企业稳健发展</w:t>
            </w:r>
          </w:p>
        </w:tc>
        <w:tc>
          <w:tcPr>
            <w:tcW w:w="39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贯彻国家和地方政策</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开展乡村振兴</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明确支农支小战略定位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股东与投资者</w:t>
            </w:r>
          </w:p>
        </w:tc>
        <w:tc>
          <w:tcPr>
            <w:tcW w:w="311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良好的投资回报</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全面及时的信息披露</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健全的企业内部机制建设</w:t>
            </w:r>
          </w:p>
        </w:tc>
        <w:tc>
          <w:tcPr>
            <w:tcW w:w="39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全面准确地把握经济形势和当地特色，强化风险管理，创造可持续价值回报</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准确披露信息，提高透明度</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完善公司治理机制，依法合规、稳健经营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客户</w:t>
            </w:r>
          </w:p>
        </w:tc>
        <w:tc>
          <w:tcPr>
            <w:tcW w:w="311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热情、便捷的金融服务</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满足不同需求的金融产品</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倾听客户的意见</w:t>
            </w:r>
          </w:p>
        </w:tc>
        <w:tc>
          <w:tcPr>
            <w:tcW w:w="39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强化员工服务意识和业务能力</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创新金融产品的种类与模式</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简化业务流程，完善投诉机制</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保护消费者权益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员工</w:t>
            </w:r>
          </w:p>
        </w:tc>
        <w:tc>
          <w:tcPr>
            <w:tcW w:w="311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以人为本</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关注成长</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实现自我价值</w:t>
            </w:r>
          </w:p>
        </w:tc>
        <w:tc>
          <w:tcPr>
            <w:tcW w:w="39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保障员工合法权益</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完善薪酬福利体系和职业发展规划</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探索企业文化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供应商与合作伙伴</w:t>
            </w:r>
          </w:p>
        </w:tc>
        <w:tc>
          <w:tcPr>
            <w:tcW w:w="311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诚实守信</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互利共赢</w:t>
            </w:r>
          </w:p>
        </w:tc>
        <w:tc>
          <w:tcPr>
            <w:tcW w:w="39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公平竞争，诚信履约</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友好互利，相互尊重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社区</w:t>
            </w:r>
          </w:p>
        </w:tc>
        <w:tc>
          <w:tcPr>
            <w:tcW w:w="311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支持社区建设</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搭建银村桥梁</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宣传金融知识</w:t>
            </w:r>
          </w:p>
        </w:tc>
        <w:tc>
          <w:tcPr>
            <w:tcW w:w="39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优化网点布局，提升综合服务能力</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加大宣传力度，普及金融政策知识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公众与媒体</w:t>
            </w:r>
          </w:p>
        </w:tc>
        <w:tc>
          <w:tcPr>
            <w:tcW w:w="311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塑造品牌形象</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热心回馈社会</w:t>
            </w:r>
          </w:p>
        </w:tc>
        <w:tc>
          <w:tcPr>
            <w:tcW w:w="39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积极对接，加强宣传</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投身公益事业，打造品牌口碑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环境</w:t>
            </w:r>
          </w:p>
        </w:tc>
        <w:tc>
          <w:tcPr>
            <w:tcW w:w="311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信贷投向偏好</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节能减排</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可持续发展</w:t>
            </w:r>
          </w:p>
        </w:tc>
        <w:tc>
          <w:tcPr>
            <w:tcW w:w="3968" w:type="dxa"/>
            <w:vAlign w:val="center"/>
          </w:tcPr>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限制高污染、高能耗的产品</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支持无纸化办公</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倡导节约的企业氛围</w:t>
            </w:r>
          </w:p>
        </w:tc>
      </w:tr>
    </w:tbl>
    <w:p>
      <w:pPr>
        <w:keepNext w:val="0"/>
        <w:keepLines w:val="0"/>
        <w:pageBreakBefore w:val="0"/>
        <w:kinsoku/>
        <w:wordWrap/>
        <w:overflowPunct/>
        <w:topLinePunct w:val="0"/>
        <w:autoSpaceDE/>
        <w:autoSpaceDN/>
        <w:bidi w:val="0"/>
        <w:snapToGrid/>
        <w:spacing w:line="600" w:lineRule="exact"/>
        <w:textAlignment w:val="auto"/>
        <w:rPr>
          <w:rFonts w:hint="eastAsia" w:ascii="仿宋" w:hAnsi="仿宋" w:eastAsia="仿宋" w:cs="仿宋"/>
          <w:b/>
          <w:bCs/>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center"/>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第四节 社会责任实践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经济责任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作为扎根本土的金融机构，本行承担着服务乡村振兴、助力共同富裕、稳定农村金融、守护农民利益的经济责任。是连接金融资源与农村实体经济的纽带。同时，助力防范农村非法集资、非法金融活动，保证农民资金安全，为农村经济持续健康发展筑牢金融安全底线。</w:t>
      </w:r>
    </w:p>
    <w:p>
      <w:pP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服务三农</w:t>
      </w:r>
    </w:p>
    <w:p>
      <w:pPr>
        <w:ind w:firstLine="640" w:firstLineChars="200"/>
        <w:rPr>
          <w:rFonts w:hint="eastAsia"/>
          <w:highlight w:val="green"/>
        </w:rPr>
      </w:pPr>
      <w:r>
        <w:rPr>
          <w:rFonts w:hint="eastAsia" w:ascii="仿宋_GB2312" w:hAnsi="仿宋_GB2312" w:eastAsia="仿宋_GB2312" w:cs="仿宋_GB2312"/>
          <w:b w:val="0"/>
          <w:bCs w:val="0"/>
          <w:sz w:val="32"/>
          <w:szCs w:val="32"/>
          <w:highlight w:val="none"/>
        </w:rPr>
        <w:t>我行坚持服务上门，组织工作人员深入各乡镇、行政村，</w:t>
      </w:r>
      <w:r>
        <w:rPr>
          <w:rFonts w:hint="eastAsia" w:ascii="仿宋_GB2312" w:hAnsi="仿宋_GB2312" w:eastAsia="仿宋_GB2312" w:cs="仿宋_GB2312"/>
          <w:b w:val="0"/>
          <w:bCs w:val="0"/>
          <w:sz w:val="32"/>
          <w:szCs w:val="32"/>
          <w:highlight w:val="none"/>
          <w:lang w:val="en-US" w:eastAsia="zh-CN"/>
        </w:rPr>
        <w:t>对五支营销团队实行网格化管理，每名客户经理每周</w:t>
      </w:r>
      <w:r>
        <w:rPr>
          <w:rFonts w:hint="eastAsia" w:ascii="仿宋_GB2312" w:hAnsi="仿宋_GB2312" w:eastAsia="仿宋_GB2312" w:cs="仿宋_GB2312"/>
          <w:b w:val="0"/>
          <w:bCs w:val="0"/>
          <w:sz w:val="32"/>
          <w:szCs w:val="32"/>
          <w:highlight w:val="none"/>
        </w:rPr>
        <w:t>入户</w:t>
      </w:r>
      <w:r>
        <w:rPr>
          <w:rFonts w:hint="eastAsia" w:ascii="仿宋_GB2312" w:hAnsi="仿宋_GB2312" w:eastAsia="仿宋_GB2312" w:cs="仿宋_GB2312"/>
          <w:b w:val="0"/>
          <w:bCs w:val="0"/>
          <w:sz w:val="32"/>
          <w:szCs w:val="32"/>
          <w:highlight w:val="none"/>
          <w:lang w:val="en-US" w:eastAsia="zh-CN"/>
        </w:rPr>
        <w:t>走访时间不低于20个小时，配备村居营销专用汽车，</w:t>
      </w:r>
      <w:r>
        <w:rPr>
          <w:rFonts w:hint="eastAsia" w:ascii="仿宋_GB2312" w:hAnsi="仿宋_GB2312" w:eastAsia="仿宋_GB2312" w:cs="仿宋_GB2312"/>
          <w:b w:val="0"/>
          <w:bCs w:val="0"/>
          <w:sz w:val="32"/>
          <w:szCs w:val="32"/>
          <w:highlight w:val="none"/>
        </w:rPr>
        <w:t>推行“一站式”办贷服务，让村民足不出村就能办理存款、贷款、转账等基础金融业务，打通了农村金融服务“最后一公里”，切实提升了农村群众的金融获得感与满意度。</w:t>
      </w:r>
    </w:p>
    <w:p>
      <w:pP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服务小微</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坚守定位不动摇，支持“小微、三农”发展。</w:t>
      </w:r>
      <w:r>
        <w:rPr>
          <w:rFonts w:hint="eastAsia" w:ascii="仿宋_GB2312" w:hAnsi="仿宋_GB2312" w:eastAsia="仿宋_GB2312" w:cs="仿宋_GB2312"/>
          <w:sz w:val="32"/>
          <w:szCs w:val="32"/>
          <w:highlight w:val="none"/>
          <w:lang w:val="en-US" w:eastAsia="zh-CN"/>
        </w:rPr>
        <w:t>本行</w:t>
      </w:r>
      <w:r>
        <w:rPr>
          <w:rFonts w:hint="eastAsia" w:ascii="仿宋_GB2312" w:hAnsi="仿宋_GB2312" w:eastAsia="仿宋_GB2312" w:cs="仿宋_GB2312"/>
          <w:sz w:val="32"/>
          <w:szCs w:val="32"/>
          <w:highlight w:val="none"/>
        </w:rPr>
        <w:t>始终贯彻“坚守市场定位，强化普惠金融、深耕小微三农”的市场定位，以高质量发展为目标，加强小微企业经营类融资需求的支持力度，有效解决农村地区金融机构覆盖率低、金融供给不足、金融服务缺位等问题。截至</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年12月末，小微企业贷款余额43039.6</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万元，较年初增加</w:t>
      </w:r>
      <w:r>
        <w:rPr>
          <w:rFonts w:hint="eastAsia" w:ascii="仿宋_GB2312" w:hAnsi="仿宋_GB2312" w:eastAsia="仿宋_GB2312" w:cs="仿宋_GB2312"/>
          <w:sz w:val="32"/>
          <w:szCs w:val="32"/>
          <w:highlight w:val="none"/>
          <w:lang w:val="en-US" w:eastAsia="zh-CN"/>
        </w:rPr>
        <w:t>2876.72</w:t>
      </w:r>
      <w:r>
        <w:rPr>
          <w:rFonts w:hint="eastAsia" w:ascii="仿宋_GB2312" w:hAnsi="仿宋_GB2312" w:eastAsia="仿宋_GB2312" w:cs="仿宋_GB2312"/>
          <w:sz w:val="32"/>
          <w:szCs w:val="32"/>
          <w:highlight w:val="none"/>
        </w:rPr>
        <w:t>万元，增幅达</w:t>
      </w:r>
      <w:r>
        <w:rPr>
          <w:rFonts w:hint="eastAsia" w:ascii="仿宋_GB2312" w:hAnsi="仿宋_GB2312" w:eastAsia="仿宋_GB2312" w:cs="仿宋_GB2312"/>
          <w:sz w:val="32"/>
          <w:szCs w:val="32"/>
          <w:highlight w:val="none"/>
          <w:lang w:val="en-US" w:eastAsia="zh-CN"/>
        </w:rPr>
        <w:t>7.16</w:t>
      </w:r>
      <w:r>
        <w:rPr>
          <w:rFonts w:hint="eastAsia" w:ascii="仿宋_GB2312" w:hAnsi="仿宋_GB2312" w:eastAsia="仿宋_GB2312" w:cs="仿宋_GB2312"/>
          <w:sz w:val="32"/>
          <w:szCs w:val="32"/>
          <w:highlight w:val="none"/>
        </w:rPr>
        <w:t>%；小微企业客户数</w:t>
      </w:r>
      <w:r>
        <w:rPr>
          <w:rFonts w:hint="eastAsia" w:ascii="仿宋_GB2312" w:hAnsi="仿宋_GB2312" w:eastAsia="仿宋_GB2312" w:cs="仿宋_GB2312"/>
          <w:sz w:val="32"/>
          <w:szCs w:val="32"/>
          <w:highlight w:val="none"/>
          <w:lang w:val="en-US" w:eastAsia="zh-CN"/>
        </w:rPr>
        <w:t>2086</w:t>
      </w:r>
      <w:r>
        <w:rPr>
          <w:rFonts w:hint="eastAsia" w:ascii="仿宋_GB2312" w:hAnsi="仿宋_GB2312" w:eastAsia="仿宋_GB2312" w:cs="仿宋_GB2312"/>
          <w:sz w:val="32"/>
          <w:szCs w:val="32"/>
          <w:highlight w:val="none"/>
        </w:rPr>
        <w:t>户，较年初增加</w:t>
      </w:r>
      <w:r>
        <w:rPr>
          <w:rFonts w:hint="eastAsia" w:ascii="仿宋_GB2312" w:hAnsi="仿宋_GB2312" w:eastAsia="仿宋_GB2312" w:cs="仿宋_GB2312"/>
          <w:sz w:val="32"/>
          <w:szCs w:val="32"/>
          <w:highlight w:val="none"/>
          <w:lang w:val="en-US" w:eastAsia="zh-CN"/>
        </w:rPr>
        <w:t>194</w:t>
      </w:r>
      <w:r>
        <w:rPr>
          <w:rFonts w:hint="eastAsia" w:ascii="仿宋_GB2312" w:hAnsi="仿宋_GB2312" w:eastAsia="仿宋_GB2312" w:cs="仿宋_GB2312"/>
          <w:sz w:val="32"/>
          <w:szCs w:val="32"/>
          <w:highlight w:val="none"/>
        </w:rPr>
        <w:t>户。</w:t>
      </w:r>
    </w:p>
    <w:tbl>
      <w:tblPr>
        <w:tblStyle w:val="12"/>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13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shd w:val="clear" w:color="auto" w:fill="DEEBF6" w:themeFill="accent1" w:themeFillTint="32"/>
            <w:vAlign w:val="center"/>
          </w:tcPr>
          <w:p>
            <w:pPr>
              <w:keepNext w:val="0"/>
              <w:keepLines w:val="0"/>
              <w:pageBreakBefore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指标名称</w:t>
            </w:r>
          </w:p>
        </w:tc>
        <w:tc>
          <w:tcPr>
            <w:tcW w:w="1134" w:type="dxa"/>
            <w:shd w:val="clear" w:color="auto" w:fill="DEEBF6" w:themeFill="accent1" w:themeFillTint="32"/>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单位</w:t>
            </w:r>
          </w:p>
        </w:tc>
        <w:tc>
          <w:tcPr>
            <w:tcW w:w="1704" w:type="dxa"/>
            <w:shd w:val="clear" w:color="auto" w:fill="DEEBF6" w:themeFill="accent1" w:themeFillTint="32"/>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2025年</w:t>
            </w:r>
          </w:p>
        </w:tc>
        <w:tc>
          <w:tcPr>
            <w:tcW w:w="1705" w:type="dxa"/>
            <w:shd w:val="clear" w:color="auto" w:fill="DEEBF6" w:themeFill="accent1" w:themeFillTint="32"/>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2024年</w:t>
            </w:r>
          </w:p>
        </w:tc>
        <w:tc>
          <w:tcPr>
            <w:tcW w:w="1705" w:type="dxa"/>
            <w:shd w:val="clear" w:color="auto" w:fill="DEEBF6" w:themeFill="accent1" w:themeFillTint="32"/>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小微企业贷款余额</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万元</w:t>
            </w:r>
          </w:p>
        </w:tc>
        <w:tc>
          <w:tcPr>
            <w:tcW w:w="1704"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default" w:ascii="仿宋" w:hAnsi="仿宋" w:eastAsia="仿宋" w:cs="仿宋"/>
                <w:b w:val="0"/>
                <w:bCs w:val="0"/>
                <w:sz w:val="24"/>
                <w:szCs w:val="24"/>
                <w:highlight w:val="none"/>
                <w:vertAlign w:val="baseline"/>
                <w:lang w:val="en-US" w:eastAsia="zh-CN"/>
              </w:rPr>
              <w:t>43039.60</w:t>
            </w:r>
          </w:p>
        </w:tc>
        <w:tc>
          <w:tcPr>
            <w:tcW w:w="1705"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kern w:val="2"/>
                <w:sz w:val="24"/>
                <w:szCs w:val="24"/>
                <w:highlight w:val="none"/>
                <w:vertAlign w:val="baseline"/>
                <w:lang w:val="en-US" w:eastAsia="zh-CN" w:bidi="ar-SA"/>
              </w:rPr>
            </w:pPr>
            <w:r>
              <w:rPr>
                <w:rFonts w:hint="default" w:ascii="仿宋" w:hAnsi="仿宋" w:eastAsia="仿宋" w:cs="仿宋"/>
                <w:b w:val="0"/>
                <w:bCs w:val="0"/>
                <w:sz w:val="24"/>
                <w:szCs w:val="24"/>
                <w:highlight w:val="none"/>
                <w:vertAlign w:val="baseline"/>
                <w:lang w:val="en-US" w:eastAsia="zh-CN"/>
              </w:rPr>
              <w:t>40162.88</w:t>
            </w:r>
          </w:p>
        </w:tc>
        <w:tc>
          <w:tcPr>
            <w:tcW w:w="1705"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31622.56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小微企业贷款占比</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1704"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89.11</w:t>
            </w:r>
          </w:p>
        </w:tc>
        <w:tc>
          <w:tcPr>
            <w:tcW w:w="1705"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86.02</w:t>
            </w:r>
          </w:p>
        </w:tc>
        <w:tc>
          <w:tcPr>
            <w:tcW w:w="1705"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78.78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left"/>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小微企业贷款客户数量</w:t>
            </w:r>
          </w:p>
        </w:tc>
        <w:tc>
          <w:tcPr>
            <w:tcW w:w="1134" w:type="dxa"/>
            <w:vAlign w:val="center"/>
          </w:tcPr>
          <w:p>
            <w:pPr>
              <w:keepNext w:val="0"/>
              <w:keepLines w:val="0"/>
              <w:pageBreakBefore w:val="0"/>
              <w:numPr>
                <w:ilvl w:val="0"/>
                <w:numId w:val="0"/>
              </w:numPr>
              <w:kinsoku/>
              <w:wordWrap/>
              <w:overflowPunct/>
              <w:topLinePunct w:val="0"/>
              <w:autoSpaceDE/>
              <w:autoSpaceDN/>
              <w:bidi w:val="0"/>
              <w:snapToGrid/>
              <w:spacing w:line="600" w:lineRule="exact"/>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户</w:t>
            </w:r>
          </w:p>
        </w:tc>
        <w:tc>
          <w:tcPr>
            <w:tcW w:w="1704"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2086</w:t>
            </w:r>
          </w:p>
        </w:tc>
        <w:tc>
          <w:tcPr>
            <w:tcW w:w="1705"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1892</w:t>
            </w:r>
          </w:p>
        </w:tc>
        <w:tc>
          <w:tcPr>
            <w:tcW w:w="1705" w:type="dxa"/>
            <w:vAlign w:val="center"/>
          </w:tcPr>
          <w:p>
            <w:pPr>
              <w:keepNext w:val="0"/>
              <w:keepLines w:val="0"/>
              <w:pageBreakBefore w:val="0"/>
              <w:numPr>
                <w:ilvl w:val="0"/>
                <w:numId w:val="0"/>
              </w:numPr>
              <w:kinsoku/>
              <w:wordWrap/>
              <w:overflowPunct/>
              <w:topLinePunct w:val="0"/>
              <w:autoSpaceDE/>
              <w:autoSpaceDN/>
              <w:bidi w:val="0"/>
              <w:snapToGrid/>
              <w:spacing w:line="600" w:lineRule="exact"/>
              <w:ind w:left="0" w:leftChars="0" w:firstLine="0" w:firstLineChars="0"/>
              <w:jc w:val="center"/>
              <w:textAlignment w:val="auto"/>
              <w:rPr>
                <w:rFonts w:hint="default"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1337</w:t>
            </w:r>
          </w:p>
        </w:tc>
      </w:tr>
    </w:tbl>
    <w:p>
      <w:pP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扎根村居</w:t>
      </w:r>
    </w:p>
    <w:p>
      <w:pPr>
        <w:ind w:firstLine="640" w:firstLineChars="200"/>
        <w:rPr>
          <w:rFonts w:hint="eastAsia" w:ascii="仿宋" w:hAnsi="仿宋" w:eastAsia="仿宋" w:cs="仿宋"/>
          <w:sz w:val="28"/>
          <w:szCs w:val="28"/>
          <w:highlight w:val="none"/>
        </w:rPr>
      </w:pPr>
      <w:r>
        <w:rPr>
          <w:rFonts w:hint="eastAsia" w:ascii="仿宋_GB2312" w:hAnsi="仿宋_GB2312" w:eastAsia="仿宋_GB2312" w:cs="仿宋_GB2312"/>
          <w:b w:val="0"/>
          <w:bCs w:val="0"/>
          <w:sz w:val="32"/>
          <w:szCs w:val="32"/>
          <w:highlight w:val="none"/>
        </w:rPr>
        <w:t>积极参与村内公益扶持工作，助力乡村基础设施建设、关爱</w:t>
      </w:r>
      <w:r>
        <w:rPr>
          <w:rFonts w:hint="eastAsia" w:ascii="仿宋_GB2312" w:hAnsi="仿宋_GB2312" w:eastAsia="仿宋_GB2312" w:cs="仿宋_GB2312"/>
          <w:b w:val="0"/>
          <w:bCs w:val="0"/>
          <w:sz w:val="32"/>
          <w:szCs w:val="32"/>
          <w:highlight w:val="none"/>
          <w:lang w:val="en-US" w:eastAsia="zh-CN"/>
        </w:rPr>
        <w:t>特殊群体</w:t>
      </w:r>
      <w:r>
        <w:rPr>
          <w:rFonts w:hint="eastAsia" w:ascii="仿宋_GB2312" w:hAnsi="仿宋_GB2312" w:eastAsia="仿宋_GB2312" w:cs="仿宋_GB2312"/>
          <w:b w:val="0"/>
          <w:bCs w:val="0"/>
          <w:sz w:val="32"/>
          <w:szCs w:val="32"/>
          <w:highlight w:val="none"/>
        </w:rPr>
        <w:t>、支持乡村文化活动，主动践行社会责任，彰显本土银行的担当与情怀，与各村建立了良好的群众基础和信任关系。</w:t>
      </w:r>
      <w:r>
        <w:rPr>
          <w:rFonts w:hint="eastAsia" w:ascii="仿宋_GB2312" w:hAnsi="仿宋_GB2312" w:eastAsia="仿宋_GB2312" w:cs="仿宋_GB2312"/>
          <w:b w:val="0"/>
          <w:bCs w:val="0"/>
          <w:sz w:val="32"/>
          <w:szCs w:val="32"/>
          <w:highlight w:val="none"/>
          <w:lang w:val="en-US" w:eastAsia="zh-CN"/>
        </w:rPr>
        <w:t>我</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行为解</w:t>
      </w:r>
      <w:r>
        <w:rPr>
          <w:rFonts w:hint="eastAsia" w:ascii="仿宋_GB2312" w:hAnsi="仿宋_GB2312" w:eastAsia="仿宋_GB2312" w:cs="仿宋_GB2312"/>
          <w:b w:val="0"/>
          <w:bCs w:val="0"/>
          <w:sz w:val="32"/>
          <w:szCs w:val="32"/>
          <w:highlight w:val="none"/>
        </w:rPr>
        <w:t>决农村老人“吃饭难”问题，</w:t>
      </w:r>
      <w:r>
        <w:rPr>
          <w:rFonts w:hint="eastAsia" w:ascii="仿宋_GB2312" w:hAnsi="仿宋_GB2312" w:eastAsia="仿宋_GB2312" w:cs="仿宋_GB2312"/>
          <w:b w:val="0"/>
          <w:bCs w:val="0"/>
          <w:sz w:val="32"/>
          <w:szCs w:val="32"/>
          <w:highlight w:val="none"/>
          <w:lang w:val="en-US" w:eastAsia="zh-CN"/>
        </w:rPr>
        <w:t>向主发起行上海农商银行提出申请，主发起行履行社会责任，于2025年8月</w:t>
      </w:r>
      <w:r>
        <w:rPr>
          <w:rFonts w:hint="eastAsia" w:ascii="仿宋_GB2312" w:hAnsi="仿宋_GB2312" w:eastAsia="仿宋_GB2312" w:cs="仿宋_GB2312"/>
          <w:b w:val="0"/>
          <w:bCs w:val="0"/>
          <w:sz w:val="32"/>
          <w:szCs w:val="32"/>
          <w:highlight w:val="none"/>
        </w:rPr>
        <w:t>向</w:t>
      </w:r>
      <w:r>
        <w:rPr>
          <w:rFonts w:hint="eastAsia" w:ascii="仿宋_GB2312" w:hAnsi="仿宋_GB2312" w:eastAsia="仿宋_GB2312" w:cs="仿宋_GB2312"/>
          <w:b w:val="0"/>
          <w:bCs w:val="0"/>
          <w:sz w:val="32"/>
          <w:szCs w:val="32"/>
          <w:highlight w:val="none"/>
          <w:lang w:val="en-US" w:eastAsia="zh-CN"/>
        </w:rPr>
        <w:t>郑家镇</w:t>
      </w:r>
      <w:r>
        <w:rPr>
          <w:rFonts w:hint="eastAsia" w:ascii="仿宋_GB2312" w:hAnsi="仿宋_GB2312" w:eastAsia="仿宋_GB2312" w:cs="仿宋_GB2312"/>
          <w:b w:val="0"/>
          <w:bCs w:val="0"/>
          <w:sz w:val="32"/>
          <w:szCs w:val="32"/>
          <w:highlight w:val="none"/>
        </w:rPr>
        <w:t>白堂村捐赠人民币3万元整，专项用于村居老人食堂建设，以实际行动践行社会责任，助力地方</w:t>
      </w:r>
      <w:r>
        <w:rPr>
          <w:rFonts w:hint="eastAsia" w:ascii="仿宋_GB2312" w:hAnsi="仿宋_GB2312" w:eastAsia="仿宋_GB2312" w:cs="仿宋_GB2312"/>
          <w:b w:val="0"/>
          <w:bCs w:val="0"/>
          <w:sz w:val="32"/>
          <w:szCs w:val="32"/>
          <w:highlight w:val="none"/>
          <w:lang w:val="en-US" w:eastAsia="zh-CN"/>
        </w:rPr>
        <w:t>乡村振兴和</w:t>
      </w:r>
      <w:r>
        <w:rPr>
          <w:rFonts w:hint="eastAsia" w:ascii="仿宋_GB2312" w:hAnsi="仿宋_GB2312" w:eastAsia="仿宋_GB2312" w:cs="仿宋_GB2312"/>
          <w:b w:val="0"/>
          <w:bCs w:val="0"/>
          <w:sz w:val="32"/>
          <w:szCs w:val="32"/>
          <w:highlight w:val="none"/>
        </w:rPr>
        <w:t>公益事业发展。我行始终牢记地方金融机构的社会责任，在做好金融服务的同时，积极开展各类公益活动与防诈骗宣传工作，守护村民财产安全，助力乡村文明建设。</w:t>
      </w:r>
      <w:r>
        <w:rPr>
          <w:rFonts w:hint="eastAsia" w:ascii="仿宋_GB2312" w:hAnsi="仿宋_GB2312" w:eastAsia="仿宋_GB2312" w:cs="仿宋_GB2312"/>
          <w:b w:val="0"/>
          <w:bCs w:val="0"/>
          <w:sz w:val="32"/>
          <w:szCs w:val="32"/>
          <w:highlight w:val="none"/>
          <w:lang w:val="en-US" w:eastAsia="zh-CN"/>
        </w:rPr>
        <w:t>2025年在各村委会开展反诈骗宣传130余场，惠及农户约2100人。</w:t>
      </w:r>
    </w:p>
    <w:p>
      <w:pPr>
        <w:jc w:val="center"/>
        <w:rPr>
          <w:rFonts w:hint="eastAsia"/>
          <w:highlight w:val="green"/>
          <w:lang w:val="en-US" w:eastAsia="zh-CN"/>
        </w:rPr>
      </w:pPr>
    </w:p>
    <w:p>
      <w:pPr>
        <w:pStyle w:val="2"/>
        <w:rPr>
          <w:rFonts w:hint="eastAsia"/>
          <w:highlight w:val="green"/>
          <w:lang w:val="en-US" w:eastAsia="zh-CN"/>
        </w:rPr>
      </w:pPr>
    </w:p>
    <w:p>
      <w:pPr>
        <w:pStyle w:val="2"/>
        <w:rPr>
          <w:rFonts w:hint="eastAsia"/>
          <w:highlight w:val="green"/>
          <w:lang w:val="en-US" w:eastAsia="zh-CN"/>
        </w:rPr>
      </w:pPr>
    </w:p>
    <w:p>
      <w:pPr>
        <w:pStyle w:val="2"/>
        <w:rPr>
          <w:rFonts w:hint="eastAsia"/>
          <w:highlight w:val="green"/>
          <w:lang w:val="en-US" w:eastAsia="zh-CN"/>
        </w:rPr>
      </w:pPr>
    </w:p>
    <w:p>
      <w:pPr>
        <w:pStyle w:val="2"/>
        <w:rPr>
          <w:rFonts w:hint="eastAsia"/>
          <w:highlight w:val="green"/>
          <w:lang w:val="en-US" w:eastAsia="zh-CN"/>
        </w:rPr>
      </w:pPr>
    </w:p>
    <w:p>
      <w:pPr>
        <w:pStyle w:val="2"/>
        <w:ind w:left="0" w:leftChars="0" w:firstLine="0" w:firstLineChars="0"/>
        <w:jc w:val="both"/>
        <w:rPr>
          <w:rFonts w:hint="eastAsia"/>
          <w:highlight w:val="green"/>
          <w:lang w:val="en-US" w:eastAsia="zh-CN"/>
        </w:rPr>
      </w:pPr>
      <w:r>
        <w:rPr>
          <w:rFonts w:hint="eastAsia"/>
          <w:highlight w:val="none"/>
          <w:lang w:val="en-US" w:eastAsia="zh-CN"/>
        </w:rPr>
        <w:drawing>
          <wp:inline distT="0" distB="0" distL="114300" distR="114300">
            <wp:extent cx="5268595" cy="2997835"/>
            <wp:effectExtent l="0" t="0" r="8255" b="12065"/>
            <wp:docPr id="7" name="图片 7" descr="f0037056aadb100d6876158f2418e923_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0037056aadb100d6876158f2418e923_compress"/>
                    <pic:cNvPicPr>
                      <a:picLocks noChangeAspect="1"/>
                    </pic:cNvPicPr>
                  </pic:nvPicPr>
                  <pic:blipFill>
                    <a:blip r:embed="rId8"/>
                    <a:stretch>
                      <a:fillRect/>
                    </a:stretch>
                  </pic:blipFill>
                  <pic:spPr>
                    <a:xfrm>
                      <a:off x="0" y="0"/>
                      <a:ext cx="5268595" cy="2997835"/>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社会责任</w:t>
      </w:r>
    </w:p>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员工责任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聊城沪农商村镇银行建立完善的考核体系，按时足额发放劳动报酬，足额为员工缴纳五险一金，保障员工的合法权益，提供安全健康的工作环境，加强劳动保护，积极预防职业病。持续完善职业教育和岗位培训制度，不断提高员工的素质和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highlight w:val="none"/>
          <w:lang w:val="en-US" w:eastAsia="zh-CN" w:bidi="ar-SA"/>
        </w:rPr>
        <w:t>积极践行“以人为本”的发展理念，每年组织开展员工健康体检活动，主发起行牵头缴纳的额外医疗保险，解除了员工的后顾之忧，此项福利也优于本地其他单位，每两年量制工装。同时，主发起行总工会开展的“夏送清凉 冬送温暖”活动，聊城沪农商村镇银行工会在员工生日时送上生日蛋糕等，提升员工的幸福感，增强凝聚力，让广大员工切实感受到聊城沪农商村镇银行大家庭的温暖，提高员工的向心力和归属感。</w:t>
      </w:r>
    </w:p>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金融教育责任</w:t>
      </w:r>
    </w:p>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大力开展公众金融教育宣传</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一、宣传形式和渠道</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rPr>
        <w:t>（一）依托物理网点为阵地开展教育宣传，利用电子多媒体显示屏、自助机具等媒体设备播放宣传内容；设立公众教育区，张贴宣传海报，发放宣传资料，安排工作人员提供现场咨询讲解等；举办专题教育讲座或培训；金融知识教育宣传材料应与银行产品营销材料显著区分，突出教育宣传的公益性</w:t>
      </w:r>
      <w:r>
        <w:rPr>
          <w:rFonts w:hint="eastAsia" w:ascii="仿宋_GB2312" w:hAnsi="仿宋_GB2312" w:eastAsia="仿宋_GB2312" w:cs="仿宋_GB2312"/>
          <w:color w:val="auto"/>
          <w:kern w:val="2"/>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rPr>
        <w:t>（二）依托、整合相关社会资源共同开展或</w:t>
      </w:r>
      <w:r>
        <w:rPr>
          <w:rFonts w:hint="eastAsia" w:ascii="仿宋_GB2312" w:hAnsi="仿宋_GB2312" w:eastAsia="仿宋_GB2312" w:cs="仿宋_GB2312"/>
          <w:color w:val="auto"/>
          <w:kern w:val="2"/>
          <w:sz w:val="32"/>
          <w:szCs w:val="32"/>
          <w:highlight w:val="none"/>
          <w:lang w:val="en-US" w:eastAsia="zh-CN"/>
        </w:rPr>
        <w:t>本行</w:t>
      </w:r>
      <w:r>
        <w:rPr>
          <w:rFonts w:hint="eastAsia" w:ascii="仿宋_GB2312" w:hAnsi="仿宋_GB2312" w:eastAsia="仿宋_GB2312" w:cs="仿宋_GB2312"/>
          <w:color w:val="auto"/>
          <w:kern w:val="2"/>
          <w:sz w:val="32"/>
          <w:szCs w:val="32"/>
          <w:highlight w:val="none"/>
        </w:rPr>
        <w:t>依靠自身力量开展的教育宣传工作，深入社区、学校、园区、企业等，通过设立宣传教育点、举办专题讲座等形式有针对性地开展教育宣传活动</w:t>
      </w:r>
      <w:r>
        <w:rPr>
          <w:rFonts w:hint="eastAsia" w:ascii="仿宋_GB2312" w:hAnsi="仿宋_GB2312" w:eastAsia="仿宋_GB2312" w:cs="仿宋_GB2312"/>
          <w:color w:val="auto"/>
          <w:kern w:val="2"/>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color w:val="auto"/>
          <w:kern w:val="2"/>
          <w:sz w:val="32"/>
          <w:szCs w:val="32"/>
          <w:highlight w:val="none"/>
        </w:rPr>
        <w:t>（三）借助各类在线电子渠道开展宣传，通过手机银行、微信银行、短信银行、微信公众号等渠道推送金融知识，扩大受众范围</w:t>
      </w:r>
      <w:r>
        <w:rPr>
          <w:rFonts w:hint="eastAsia" w:ascii="仿宋_GB2312" w:hAnsi="仿宋_GB2312" w:eastAsia="仿宋_GB2312" w:cs="仿宋_GB2312"/>
          <w:color w:val="auto"/>
          <w:kern w:val="2"/>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rPr>
        <w:t>（四）利用主流传播渠道，如报刊、期刊、杂志、第三方网站刊登金融知识宣传教育文章，组织金融知识有奖问答和精彩活动等</w:t>
      </w:r>
      <w:r>
        <w:rPr>
          <w:rFonts w:hint="eastAsia" w:ascii="仿宋_GB2312" w:hAnsi="仿宋_GB2312" w:eastAsia="仿宋_GB2312" w:cs="仿宋_GB2312"/>
          <w:color w:val="auto"/>
          <w:kern w:val="2"/>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color w:val="auto"/>
          <w:kern w:val="2"/>
          <w:sz w:val="32"/>
          <w:szCs w:val="32"/>
          <w:highlight w:val="none"/>
        </w:rPr>
        <w:t>（五）将产品推介会、宣讲会、联谊活动、业务研讨会等营销活动作为开展教育宣传活动的重要平台，但避免以产品营销推介替代教育宣传活动</w:t>
      </w:r>
      <w:r>
        <w:rPr>
          <w:rFonts w:hint="eastAsia" w:ascii="仿宋_GB2312" w:hAnsi="仿宋_GB2312" w:eastAsia="仿宋_GB2312" w:cs="仿宋_GB2312"/>
          <w:kern w:val="2"/>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二、宣传内容</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（一）国家金融政策及法律法规;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（二）消费者权益保护法律法规，金融纠纷调解的渠道、方法和流程;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（三）基础金融知识;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（四）介绍常见或新型金融及电信诈骗、非法集资手段、特点及危害,提高社会公众风险防范意识;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（五）银行卡、电子银行等支付安全与使用注意事项;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（六）反假币;</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（七）反洗钱;</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（八）个人征信及个人信息保护宣传;</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（九）其他金融知识教育宣传相关内容。</w:t>
      </w:r>
    </w:p>
    <w:p>
      <w:pPr>
        <w:keepNext w:val="0"/>
        <w:keepLines w:val="0"/>
        <w:pageBreakBefore w:val="0"/>
        <w:widowControl w:val="0"/>
        <w:kinsoku/>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cs="仿宋"/>
          <w:sz w:val="28"/>
          <w:szCs w:val="28"/>
          <w:lang w:val="en-US" w:eastAsia="zh-CN"/>
        </w:rPr>
      </w:pPr>
      <w:r>
        <w:rPr>
          <w:rFonts w:hint="eastAsia" w:ascii="仿宋_GB2312" w:hAnsi="仿宋_GB2312" w:eastAsia="仿宋_GB2312" w:cs="仿宋_GB2312"/>
          <w:b w:val="0"/>
          <w:bCs w:val="0"/>
          <w:sz w:val="32"/>
          <w:szCs w:val="32"/>
          <w:lang w:val="en-US" w:eastAsia="zh-CN"/>
        </w:rPr>
        <w:t>本行深入贯彻落实金融消费者教育宣传主体责任，充分发挥我行在提高公众金融素质、促进金融生态建设，服务百姓生活中的重要作用，</w:t>
      </w:r>
      <w:r>
        <w:rPr>
          <w:rFonts w:hint="eastAsia" w:ascii="仿宋_GB2312" w:hAnsi="仿宋_GB2312" w:eastAsia="仿宋_GB2312" w:cs="仿宋_GB2312"/>
          <w:b w:val="0"/>
          <w:bCs w:val="0"/>
          <w:sz w:val="32"/>
          <w:szCs w:val="32"/>
          <w:highlight w:val="none"/>
          <w:lang w:val="en-US" w:eastAsia="zh-CN"/>
        </w:rPr>
        <w:t>保障消费者金融安全。聊城沪农商村镇银行于2026年组织全行开展“</w:t>
      </w:r>
      <w:r>
        <w:rPr>
          <w:rFonts w:hint="eastAsia" w:ascii="仿宋_GB2312" w:hAnsi="仿宋_GB2312" w:eastAsia="仿宋_GB2312" w:cs="仿宋_GB2312"/>
          <w:sz w:val="32"/>
          <w:szCs w:val="32"/>
          <w:lang w:val="en-US" w:eastAsia="zh-CN"/>
        </w:rPr>
        <w:t>金融消保在身边 保障权益防风险</w:t>
      </w:r>
      <w:r>
        <w:rPr>
          <w:rFonts w:hint="eastAsia" w:ascii="仿宋_GB2312" w:hAnsi="仿宋_GB2312" w:eastAsia="仿宋_GB2312" w:cs="仿宋_GB2312"/>
          <w:b w:val="0"/>
          <w:bCs w:val="0"/>
          <w:sz w:val="32"/>
          <w:szCs w:val="32"/>
          <w:highlight w:val="none"/>
          <w:lang w:val="en-US" w:eastAsia="zh-CN"/>
        </w:rPr>
        <w:t>”“普及金融知识万里行”“金融教育宣传月”等宣传活动，</w:t>
      </w:r>
      <w:r>
        <w:rPr>
          <w:rFonts w:hint="eastAsia" w:ascii="仿宋_GB2312" w:hAnsi="仿宋_GB2312" w:eastAsia="仿宋_GB2312" w:cs="仿宋_GB2312"/>
          <w:sz w:val="32"/>
          <w:szCs w:val="32"/>
        </w:rPr>
        <w:t>以“贴近群众、融入生活”为着力点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highlight w:val="none"/>
          <w:lang w:val="en-US" w:eastAsia="zh-CN"/>
        </w:rPr>
        <w:t>依托营业厅、社区、乡村等渠道，</w:t>
      </w:r>
      <w:r>
        <w:rPr>
          <w:rFonts w:hint="eastAsia" w:ascii="仿宋_GB2312" w:hAnsi="仿宋_GB2312" w:eastAsia="仿宋_GB2312" w:cs="仿宋_GB2312"/>
          <w:sz w:val="32"/>
          <w:szCs w:val="32"/>
          <w:lang w:val="en-US" w:eastAsia="zh-CN"/>
        </w:rPr>
        <w:t>提升群众对金融知识的认知和了解，</w:t>
      </w:r>
      <w:r>
        <w:rPr>
          <w:rFonts w:hint="eastAsia" w:ascii="仿宋_GB2312" w:hAnsi="仿宋_GB2312" w:eastAsia="仿宋_GB2312" w:cs="仿宋_GB2312"/>
          <w:b w:val="0"/>
          <w:bCs w:val="0"/>
          <w:sz w:val="32"/>
          <w:szCs w:val="32"/>
          <w:highlight w:val="none"/>
          <w:lang w:val="en-US" w:eastAsia="zh-CN"/>
        </w:rPr>
        <w:t>具体措施包括：</w:t>
      </w:r>
      <w:r>
        <w:rPr>
          <w:rFonts w:hint="eastAsia" w:ascii="仿宋_GB2312" w:hAnsi="仿宋_GB2312" w:eastAsia="仿宋_GB2312" w:cs="仿宋_GB2312"/>
          <w:sz w:val="32"/>
          <w:szCs w:val="32"/>
        </w:rPr>
        <w:t>在显著位置张贴宣传海报，摆放宣传折页并对客户进行发放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position w:val="0"/>
          <w:sz w:val="32"/>
          <w:szCs w:val="32"/>
          <w:u w:val="none"/>
          <w:shd w:val="clear" w:color="auto" w:fill="auto"/>
          <w:lang w:val="en-US" w:eastAsia="zh-CN" w:bidi="ar-SA"/>
        </w:rPr>
        <w:t>结合本行与社区党建共建活动，选取人口较为集中的中巨社区、光岳花园小区等居民区开展群众宣传；</w:t>
      </w:r>
      <w:r>
        <w:rPr>
          <w:rFonts w:hint="eastAsia" w:ascii="仿宋_GB2312" w:hAnsi="仿宋_GB2312" w:eastAsia="仿宋_GB2312" w:cs="仿宋_GB2312"/>
          <w:sz w:val="32"/>
          <w:szCs w:val="32"/>
        </w:rPr>
        <w:t>针对乡镇的老年人群体，主动为老人讲解日常基础性、易接受的金融知识，温馨提醒老人如何</w:t>
      </w:r>
      <w:r>
        <w:rPr>
          <w:rFonts w:hint="eastAsia" w:ascii="仿宋_GB2312" w:hAnsi="仿宋_GB2312" w:eastAsia="仿宋_GB2312" w:cs="仿宋_GB2312"/>
          <w:sz w:val="32"/>
          <w:szCs w:val="32"/>
          <w:lang w:val="en-US" w:eastAsia="zh-CN"/>
        </w:rPr>
        <w:t>防范诈骗</w:t>
      </w:r>
      <w:r>
        <w:rPr>
          <w:rFonts w:hint="eastAsia" w:ascii="仿宋_GB2312" w:hAnsi="仿宋_GB2312" w:eastAsia="仿宋_GB2312" w:cs="仿宋_GB2312"/>
          <w:sz w:val="32"/>
          <w:szCs w:val="32"/>
        </w:rPr>
        <w:t>等。</w:t>
      </w:r>
    </w:p>
    <w:p>
      <w:pPr>
        <w:keepNext w:val="0"/>
        <w:keepLines w:val="0"/>
        <w:pageBreakBefore w:val="0"/>
        <w:numPr>
          <w:ilvl w:val="0"/>
          <w:numId w:val="0"/>
        </w:numPr>
        <w:kinsoku/>
        <w:wordWrap/>
        <w:overflowPunct/>
        <w:topLinePunct w:val="0"/>
        <w:autoSpaceDE/>
        <w:autoSpaceDN/>
        <w:bidi w:val="0"/>
        <w:snapToGrid/>
        <w:spacing w:line="240" w:lineRule="auto"/>
        <w:jc w:val="both"/>
        <w:textAlignment w:val="auto"/>
        <w:rPr>
          <w:rFonts w:hint="eastAsia" w:ascii="仿宋" w:hAnsi="仿宋" w:eastAsia="仿宋" w:cs="仿宋"/>
          <w:b w:val="0"/>
          <w:bCs w:val="0"/>
          <w:sz w:val="28"/>
          <w:szCs w:val="28"/>
          <w:lang w:val="en-US" w:eastAsia="zh-CN"/>
        </w:rPr>
      </w:pPr>
      <w:r>
        <w:rPr>
          <w:rFonts w:hint="eastAsia" w:ascii="仿宋_GB2312" w:hAnsi="仿宋_GB2312" w:eastAsia="仿宋_GB2312" w:cs="仿宋_GB2312"/>
          <w:sz w:val="28"/>
          <w:szCs w:val="28"/>
          <w:lang w:val="en-US" w:eastAsia="zh-CN"/>
        </w:rPr>
        <w:drawing>
          <wp:inline distT="0" distB="0" distL="114300" distR="114300">
            <wp:extent cx="2497455" cy="1580515"/>
            <wp:effectExtent l="0" t="0" r="17145" b="635"/>
            <wp:docPr id="3" name="图片 3" descr="7add66adbf1a519b34a9afe459269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add66adbf1a519b34a9afe4592698f"/>
                    <pic:cNvPicPr>
                      <a:picLocks noChangeAspect="1"/>
                    </pic:cNvPicPr>
                  </pic:nvPicPr>
                  <pic:blipFill>
                    <a:blip r:embed="rId9"/>
                    <a:stretch>
                      <a:fillRect/>
                    </a:stretch>
                  </pic:blipFill>
                  <pic:spPr>
                    <a:xfrm>
                      <a:off x="0" y="0"/>
                      <a:ext cx="2497455" cy="1580515"/>
                    </a:xfrm>
                    <a:prstGeom prst="rect">
                      <a:avLst/>
                    </a:prstGeom>
                  </pic:spPr>
                </pic:pic>
              </a:graphicData>
            </a:graphic>
          </wp:inline>
        </w:drawing>
      </w:r>
      <w:r>
        <w:rPr>
          <w:rFonts w:hint="eastAsia" w:ascii="宋体" w:hAnsi="宋体" w:eastAsia="宋体" w:cs="宋体"/>
          <w:color w:val="000000"/>
          <w:sz w:val="28"/>
          <w:szCs w:val="28"/>
          <w:lang w:val="en-US" w:eastAsia="zh-CN"/>
        </w:rPr>
        <w:drawing>
          <wp:inline distT="0" distB="0" distL="114300" distR="114300">
            <wp:extent cx="2531745" cy="1564005"/>
            <wp:effectExtent l="0" t="0" r="1905" b="17145"/>
            <wp:docPr id="4" name="图片 4" descr="8ea0dadc665ac9e3134e2dd68f53b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ea0dadc665ac9e3134e2dd68f53b5f"/>
                    <pic:cNvPicPr>
                      <a:picLocks noChangeAspect="1"/>
                    </pic:cNvPicPr>
                  </pic:nvPicPr>
                  <pic:blipFill>
                    <a:blip r:embed="rId10"/>
                    <a:stretch>
                      <a:fillRect/>
                    </a:stretch>
                  </pic:blipFill>
                  <pic:spPr>
                    <a:xfrm>
                      <a:off x="0" y="0"/>
                      <a:ext cx="2531745" cy="1564005"/>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snapToGrid/>
        <w:spacing w:line="240" w:lineRule="auto"/>
        <w:jc w:val="center"/>
        <w:textAlignment w:val="auto"/>
        <w:rPr>
          <w:rFonts w:hint="eastAsia" w:ascii="仿宋" w:hAnsi="仿宋" w:eastAsia="仿宋" w:cs="仿宋"/>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消费者权益保护责任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一、本行完善消费者投诉处理机制和流程的情况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本行为深入贯彻落实国家金融监督管理总局关于切实做好金融消费者保护工作的要求，完善本行消费投诉处理机制和工作流程。明确投诉处理流程，重访重诉、重大投诉和特殊群体，投诉处理机制，投诉处理时限、投诉责任认定和投诉事项统计、归档与报告等方面。投诉处理流程包括受理投诉、转办投诉、查证投诉、回复投诉及反馈处理结果和投诉责任认定等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本行制定了《聊城沪农商村镇银行消费者权益保护工作审计暂行规定》，通过建立适当的程序和措施，推动实现消费者在与本行发生业务往来的各个阶段能够得到公平、公正和诚信的对待。该规定明确了审计内容、审计标准、审计频率及方法、审计程序、审计人员责任和权利，审计内容包括消费者权益保护工作体制机制建设、消费者权益保护工作开展情况等方面，涵盖内容较为全面具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（三）本行在收到消费者投诉后，均在规定时间内妥善处理，办公室作为消保部门均进行了督办，相关部门也均已落实。</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二、2025年内本行无客户重大投诉事件信息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三、内部消保培训</w:t>
      </w:r>
    </w:p>
    <w:p>
      <w:pPr>
        <w:keepNext w:val="0"/>
        <w:keepLines w:val="0"/>
        <w:pageBreakBefore w:val="0"/>
        <w:widowControl w:val="0"/>
        <w:numPr>
          <w:ilvl w:val="-1"/>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本行定期开展消费者权益保护专题培训，参训对象为本行全体员工，组织开展关于《聊城沪农商村镇银行消费投诉应急处置规定》《聊城沪农商村镇银行消费者权益保护重大突发事件应急处置规定》等制度和风险案例的培训学习，通过培训提高了业务岗位人员服务意识和责任意识。</w:t>
      </w:r>
    </w:p>
    <w:p>
      <w:pPr>
        <w:keepNext w:val="0"/>
        <w:keepLines w:val="0"/>
        <w:pageBreakBefore w:val="0"/>
        <w:widowControl w:val="0"/>
        <w:numPr>
          <w:ilvl w:val="-1"/>
          <w:numId w:val="0"/>
        </w:numPr>
        <w:kinsoku/>
        <w:wordWrap/>
        <w:overflowPunct/>
        <w:topLinePunct w:val="0"/>
        <w:autoSpaceDE/>
        <w:autoSpaceDN/>
        <w:bidi w:val="0"/>
        <w:snapToGrid/>
        <w:spacing w:line="600" w:lineRule="exact"/>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爱心公益责任</w:t>
      </w:r>
    </w:p>
    <w:p>
      <w:pPr>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本行始终热心社会公益。从依托主发起行到村行自发，从周边社区到偏远村居，从基础设施到文化教育，本行致力于开展志愿者服务、慈善捐赠、对口帮扶等公益活动，为社会公众谋求切身利益。</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弘扬中华民族互助互爱、无私奉献的传统美德，推进社会主义建设，践行社会责任。在重阳节，为贫困户等孤寡老人送上节日祝福及慰问品，仔细询问健康状况，普及生活安全常识及反电信诈骗等金融知识，提醒注意保护个人信息安全，提高老年群体风险防范意识，加强资金安全相关的风险识别能力。</w:t>
      </w:r>
    </w:p>
    <w:p>
      <w:pPr>
        <w:keepNext w:val="0"/>
        <w:keepLines w:val="0"/>
        <w:pageBreakBefore w:val="0"/>
        <w:widowControl w:val="0"/>
        <w:numPr>
          <w:ilvl w:val="0"/>
          <w:numId w:val="0"/>
        </w:numPr>
        <w:kinsoku/>
        <w:wordWrap/>
        <w:overflowPunct/>
        <w:topLinePunct w:val="0"/>
        <w:autoSpaceDE/>
        <w:autoSpaceDN/>
        <w:bidi w:val="0"/>
        <w:snapToGrid/>
        <w:spacing w:line="600" w:lineRule="exact"/>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环境责任</w:t>
      </w:r>
    </w:p>
    <w:p>
      <w:pPr>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本行贯彻执行国家宏观政策调控，合理配置资源，发挥金融银行业对社会资源的引导作用，助力绿色产品、创新绿色金融。同时，本行积极传导环境友好理念，履行低碳经济的社会责任：推广网上银行、手机银行、微信银行等业务，降低纸质凭证使用；倡导员工参与环保活动，宣传环保理念。</w:t>
      </w:r>
    </w:p>
    <w:p>
      <w:pPr>
        <w:pStyle w:val="2"/>
        <w:rPr>
          <w:rFonts w:hint="eastAsia" w:ascii="仿宋_GB2312" w:hAnsi="仿宋_GB2312" w:eastAsia="仿宋_GB2312" w:cs="仿宋_GB2312"/>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第五节 责任展望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本行</w:t>
      </w:r>
      <w:r>
        <w:rPr>
          <w:rFonts w:hint="eastAsia" w:ascii="仿宋_GB2312" w:hAnsi="仿宋_GB2312" w:eastAsia="仿宋_GB2312" w:cs="仿宋_GB2312"/>
          <w:color w:val="000000" w:themeColor="text1"/>
          <w:sz w:val="32"/>
          <w:szCs w:val="32"/>
          <w:highlight w:val="none"/>
          <w14:textFill>
            <w14:solidFill>
              <w14:schemeClr w14:val="tx1"/>
            </w14:solidFill>
          </w14:textFill>
        </w:rPr>
        <w:t>以打造一家服务高效、资产优良、管理规范、特色鲜明的村镇银行为愿景，坚持以创新的服务理念和良好的职业操守，更好的服务于实体、服务于城乡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2"/>
          <w:sz w:val="32"/>
          <w:szCs w:val="32"/>
          <w:highlight w:val="none"/>
        </w:rPr>
        <w:t>全面推动各项业务稳健快速发展，大力提升综合竞争能力。20</w:t>
      </w:r>
      <w:r>
        <w:rPr>
          <w:rFonts w:hint="eastAsia" w:ascii="仿宋_GB2312" w:hAnsi="仿宋_GB2312" w:eastAsia="仿宋_GB2312" w:cs="仿宋_GB2312"/>
          <w:kern w:val="2"/>
          <w:sz w:val="32"/>
          <w:szCs w:val="32"/>
          <w:highlight w:val="none"/>
          <w:lang w:val="en-US" w:eastAsia="zh-CN"/>
        </w:rPr>
        <w:t>25</w:t>
      </w:r>
      <w:r>
        <w:rPr>
          <w:rFonts w:hint="eastAsia" w:ascii="仿宋_GB2312" w:hAnsi="仿宋_GB2312" w:eastAsia="仿宋_GB2312" w:cs="仿宋_GB2312"/>
          <w:kern w:val="2"/>
          <w:sz w:val="32"/>
          <w:szCs w:val="32"/>
          <w:highlight w:val="none"/>
        </w:rPr>
        <w:t>年</w:t>
      </w:r>
      <w:r>
        <w:rPr>
          <w:rFonts w:hint="eastAsia" w:ascii="仿宋_GB2312" w:hAnsi="仿宋_GB2312" w:eastAsia="仿宋_GB2312" w:cs="仿宋_GB2312"/>
          <w:kern w:val="2"/>
          <w:sz w:val="32"/>
          <w:szCs w:val="32"/>
          <w:highlight w:val="none"/>
          <w:lang w:val="en-US" w:eastAsia="zh-CN"/>
        </w:rPr>
        <w:t>本</w:t>
      </w:r>
      <w:r>
        <w:rPr>
          <w:rFonts w:hint="eastAsia" w:ascii="仿宋_GB2312" w:hAnsi="仿宋_GB2312" w:eastAsia="仿宋_GB2312" w:cs="仿宋_GB2312"/>
          <w:kern w:val="2"/>
          <w:sz w:val="32"/>
          <w:szCs w:val="32"/>
          <w:highlight w:val="none"/>
        </w:rPr>
        <w:t>行将以市场为导向，以客户为中心，以规模为基础，以质量为效益，在主抓传统业务的基础上，不断推进产品创新和综合营销</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实现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聊城沪农商村镇银行</w:t>
      </w:r>
      <w:r>
        <w:rPr>
          <w:rFonts w:hint="eastAsia" w:ascii="仿宋_GB2312" w:hAnsi="仿宋_GB2312" w:eastAsia="仿宋_GB2312" w:cs="仿宋_GB2312"/>
          <w:color w:val="000000" w:themeColor="text1"/>
          <w:sz w:val="32"/>
          <w:szCs w:val="32"/>
          <w:highlight w:val="none"/>
          <w14:textFill>
            <w14:solidFill>
              <w14:schemeClr w14:val="tx1"/>
            </w14:solidFill>
          </w14:textFill>
        </w:rPr>
        <w:t>价值的升华。</w:t>
      </w:r>
    </w:p>
    <w:p>
      <w:pPr>
        <w:keepNext w:val="0"/>
        <w:keepLines w:val="0"/>
        <w:pageBreakBefore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bCs/>
          <w:sz w:val="28"/>
          <w:szCs w:val="28"/>
          <w:highlight w:val="cyan"/>
          <w:lang w:val="en-US" w:eastAsia="zh-CN"/>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仿宋" w:hAnsi="仿宋" w:eastAsia="仿宋" w:cs="仿宋"/>
          <w:b/>
          <w:bCs/>
          <w:sz w:val="32"/>
          <w:szCs w:val="32"/>
          <w:highlight w:val="cyan"/>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仿宋" w:hAnsi="仿宋" w:eastAsia="仿宋" w:cs="仿宋"/>
          <w:b/>
          <w:bCs/>
          <w:sz w:val="32"/>
          <w:szCs w:val="32"/>
          <w:highlight w:val="none"/>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仿宋" w:hAnsi="仿宋" w:eastAsia="仿宋" w:cs="仿宋"/>
          <w:b/>
          <w:bCs/>
          <w:sz w:val="32"/>
          <w:szCs w:val="32"/>
          <w:highlight w:val="none"/>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仿宋" w:hAnsi="仿宋" w:eastAsia="仿宋" w:cs="仿宋"/>
          <w:b/>
          <w:bCs/>
          <w:sz w:val="32"/>
          <w:szCs w:val="32"/>
          <w:highlight w:val="none"/>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仿宋" w:hAnsi="仿宋" w:eastAsia="仿宋" w:cs="仿宋"/>
          <w:b/>
          <w:bCs/>
          <w:sz w:val="32"/>
          <w:szCs w:val="32"/>
          <w:highlight w:val="none"/>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仿宋" w:hAnsi="仿宋" w:eastAsia="仿宋" w:cs="仿宋"/>
          <w:b/>
          <w:bCs/>
          <w:sz w:val="32"/>
          <w:szCs w:val="32"/>
          <w:highlight w:val="none"/>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仿宋" w:hAnsi="仿宋" w:eastAsia="仿宋" w:cs="仿宋"/>
          <w:b/>
          <w:bCs/>
          <w:sz w:val="32"/>
          <w:szCs w:val="32"/>
          <w:highlight w:val="none"/>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仿宋" w:hAnsi="仿宋" w:eastAsia="仿宋" w:cs="仿宋"/>
          <w:b/>
          <w:bCs/>
          <w:sz w:val="32"/>
          <w:szCs w:val="32"/>
          <w:highlight w:val="none"/>
        </w:rPr>
      </w:pPr>
    </w:p>
    <w:p>
      <w:pPr>
        <w:keepNext w:val="0"/>
        <w:keepLines w:val="0"/>
        <w:pageBreakBefore w:val="0"/>
        <w:kinsoku/>
        <w:wordWrap/>
        <w:overflowPunct/>
        <w:topLinePunct w:val="0"/>
        <w:autoSpaceDE/>
        <w:autoSpaceDN/>
        <w:bidi w:val="0"/>
        <w:snapToGrid/>
        <w:spacing w:line="600" w:lineRule="exact"/>
        <w:jc w:val="both"/>
        <w:textAlignment w:val="auto"/>
        <w:rPr>
          <w:rFonts w:hint="eastAsia" w:ascii="仿宋" w:hAnsi="仿宋" w:eastAsia="仿宋" w:cs="仿宋"/>
          <w:b/>
          <w:bCs/>
          <w:sz w:val="32"/>
          <w:szCs w:val="32"/>
          <w:highlight w:val="none"/>
        </w:rPr>
      </w:pPr>
    </w:p>
    <w:p>
      <w:pPr>
        <w:keepNext w:val="0"/>
        <w:keepLines w:val="0"/>
        <w:pageBreakBefore w:val="0"/>
        <w:kinsoku/>
        <w:wordWrap/>
        <w:overflowPunct/>
        <w:topLinePunct w:val="0"/>
        <w:autoSpaceDE/>
        <w:autoSpaceDN/>
        <w:bidi w:val="0"/>
        <w:snapToGrid/>
        <w:spacing w:line="600" w:lineRule="exact"/>
        <w:jc w:val="center"/>
        <w:textAlignment w:val="auto"/>
        <w:rPr>
          <w:rFonts w:ascii="仿宋" w:hAnsi="仿宋" w:eastAsia="仿宋" w:cs="仿宋"/>
          <w:b/>
          <w:bCs/>
          <w:sz w:val="32"/>
          <w:szCs w:val="32"/>
          <w:highlight w:val="none"/>
        </w:rPr>
      </w:pPr>
      <w:r>
        <w:rPr>
          <w:rFonts w:hint="eastAsia" w:ascii="仿宋" w:hAnsi="仿宋" w:eastAsia="仿宋" w:cs="仿宋"/>
          <w:b/>
          <w:bCs/>
          <w:sz w:val="32"/>
          <w:szCs w:val="32"/>
          <w:highlight w:val="none"/>
        </w:rPr>
        <w:t>读者反馈</w:t>
      </w:r>
    </w:p>
    <w:p>
      <w:pPr>
        <w:keepNext w:val="0"/>
        <w:keepLines w:val="0"/>
        <w:pageBreakBefore w:val="0"/>
        <w:kinsoku/>
        <w:wordWrap/>
        <w:overflowPunct/>
        <w:topLinePunct w:val="0"/>
        <w:autoSpaceDE/>
        <w:autoSpaceDN/>
        <w:bidi w:val="0"/>
        <w:snapToGrid/>
        <w:spacing w:line="600" w:lineRule="exact"/>
        <w:ind w:firstLine="480" w:firstLineChars="200"/>
        <w:textAlignment w:val="auto"/>
        <w:rPr>
          <w:rFonts w:ascii="仿宋" w:hAnsi="仿宋" w:eastAsia="仿宋" w:cs="仿宋"/>
          <w:sz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感谢您阅读《</w:t>
      </w:r>
      <w:r>
        <w:rPr>
          <w:rFonts w:hint="eastAsia" w:ascii="仿宋" w:hAnsi="仿宋" w:eastAsia="仿宋" w:cs="仿宋"/>
          <w:sz w:val="24"/>
          <w:szCs w:val="24"/>
          <w:highlight w:val="none"/>
          <w:lang w:val="en-US" w:eastAsia="zh-CN"/>
        </w:rPr>
        <w:t>聊城沪</w:t>
      </w:r>
      <w:r>
        <w:rPr>
          <w:rFonts w:hint="eastAsia" w:ascii="仿宋" w:hAnsi="仿宋" w:eastAsia="仿宋" w:cs="仿宋"/>
          <w:sz w:val="24"/>
          <w:szCs w:val="24"/>
          <w:highlight w:val="none"/>
        </w:rPr>
        <w:t>农商</w:t>
      </w:r>
      <w:r>
        <w:rPr>
          <w:rFonts w:hint="eastAsia" w:ascii="仿宋" w:hAnsi="仿宋" w:eastAsia="仿宋" w:cs="仿宋"/>
          <w:sz w:val="24"/>
          <w:szCs w:val="24"/>
          <w:highlight w:val="none"/>
          <w:lang w:val="en-US" w:eastAsia="zh-CN"/>
        </w:rPr>
        <w:t>村镇</w:t>
      </w:r>
      <w:r>
        <w:rPr>
          <w:rFonts w:hint="eastAsia" w:ascii="仿宋" w:hAnsi="仿宋" w:eastAsia="仿宋" w:cs="仿宋"/>
          <w:sz w:val="24"/>
          <w:szCs w:val="24"/>
          <w:highlight w:val="none"/>
        </w:rPr>
        <w:t>银行</w:t>
      </w:r>
      <w:r>
        <w:rPr>
          <w:rFonts w:hint="eastAsia" w:ascii="仿宋" w:hAnsi="仿宋" w:eastAsia="仿宋" w:cs="仿宋"/>
          <w:sz w:val="24"/>
          <w:szCs w:val="24"/>
          <w:highlight w:val="none"/>
          <w:lang w:eastAsia="zh-CN"/>
        </w:rPr>
        <w:t>2025</w:t>
      </w:r>
      <w:r>
        <w:rPr>
          <w:rFonts w:hint="eastAsia" w:ascii="仿宋" w:hAnsi="仿宋" w:eastAsia="仿宋" w:cs="仿宋"/>
          <w:sz w:val="24"/>
          <w:szCs w:val="24"/>
          <w:highlight w:val="none"/>
        </w:rPr>
        <w:t>年社会责任报告》。为更好地向您及其他利益相关方提供有价值的信息，促进本行提高履行社会责任的能力和水平，我行诚挚邀请您对本报告提出宝贵意见和建议，并通过以下方式反馈给我们。</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话：</w:t>
      </w:r>
      <w:r>
        <w:rPr>
          <w:rFonts w:hint="eastAsia" w:ascii="仿宋" w:hAnsi="仿宋" w:eastAsia="仿宋" w:cs="仿宋"/>
          <w:sz w:val="24"/>
          <w:szCs w:val="24"/>
          <w:highlight w:val="none"/>
          <w:lang w:val="en-US" w:eastAsia="zh-CN"/>
        </w:rPr>
        <w:t>0635-5083338</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邮件</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lchnscy@163.com</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地</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址：</w:t>
      </w:r>
      <w:r>
        <w:rPr>
          <w:rFonts w:hint="eastAsia" w:ascii="仿宋" w:hAnsi="仿宋" w:eastAsia="仿宋" w:cs="仿宋"/>
          <w:sz w:val="24"/>
          <w:szCs w:val="24"/>
          <w:highlight w:val="none"/>
          <w:lang w:eastAsia="zh-CN"/>
        </w:rPr>
        <w:t>聊城市东昌府区兴华东路</w:t>
      </w:r>
      <w:r>
        <w:rPr>
          <w:rFonts w:hint="eastAsia" w:ascii="仿宋" w:hAnsi="仿宋" w:eastAsia="仿宋" w:cs="仿宋"/>
          <w:sz w:val="24"/>
          <w:szCs w:val="24"/>
          <w:highlight w:val="none"/>
          <w:lang w:val="en-US" w:eastAsia="zh-CN"/>
        </w:rPr>
        <w:t xml:space="preserve">67号      </w:t>
      </w:r>
      <w:r>
        <w:rPr>
          <w:rFonts w:hint="eastAsia" w:ascii="仿宋" w:hAnsi="仿宋" w:eastAsia="仿宋" w:cs="仿宋"/>
          <w:sz w:val="24"/>
          <w:szCs w:val="24"/>
          <w:highlight w:val="none"/>
        </w:rPr>
        <w:t>邮编：</w:t>
      </w:r>
      <w:r>
        <w:rPr>
          <w:rFonts w:hint="eastAsia" w:ascii="仿宋" w:hAnsi="仿宋" w:eastAsia="仿宋" w:cs="仿宋"/>
          <w:sz w:val="24"/>
          <w:szCs w:val="24"/>
          <w:highlight w:val="none"/>
          <w:lang w:val="en-US" w:eastAsia="zh-CN"/>
        </w:rPr>
        <w:t>252000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江梦亚</w:t>
      </w:r>
    </w:p>
    <w:p>
      <w:pPr>
        <w:pStyle w:val="5"/>
        <w:keepNext w:val="0"/>
        <w:keepLines w:val="0"/>
        <w:pageBreakBefore w:val="0"/>
        <w:widowControl w:val="0"/>
        <w:kinsoku/>
        <w:wordWrap/>
        <w:overflowPunct/>
        <w:topLinePunct w:val="0"/>
        <w:autoSpaceDE/>
        <w:autoSpaceDN/>
        <w:bidi w:val="0"/>
        <w:adjustRightInd/>
        <w:snapToGrid/>
        <w:spacing w:after="0" w:line="600" w:lineRule="exact"/>
        <w:textAlignment w:val="auto"/>
        <w:rPr>
          <w:sz w:val="24"/>
          <w:szCs w:val="24"/>
          <w:highlight w:val="none"/>
        </w:rPr>
      </w:pP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您属于哪类利益相关方？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color w:val="000000"/>
          <w:kern w:val="0"/>
          <w:sz w:val="24"/>
          <w:szCs w:val="24"/>
          <w:highlight w:val="none"/>
        </w:rPr>
      </w:pPr>
      <w:r>
        <w:rPr>
          <w:rFonts w:hint="eastAsia" w:ascii="仿宋" w:hAnsi="仿宋" w:eastAsia="仿宋" w:cs="仿宋"/>
          <w:sz w:val="24"/>
          <w:szCs w:val="24"/>
          <w:highlight w:val="none"/>
        </w:rPr>
        <w:t>□</w:t>
      </w:r>
      <w:r>
        <w:rPr>
          <w:rFonts w:hint="eastAsia" w:ascii="仿宋" w:hAnsi="仿宋" w:eastAsia="仿宋" w:cs="仿宋"/>
          <w:color w:val="000000"/>
          <w:kern w:val="0"/>
          <w:sz w:val="24"/>
          <w:szCs w:val="24"/>
          <w:highlight w:val="none"/>
        </w:rPr>
        <w:t>股东与投资者</w:t>
      </w:r>
      <w:r>
        <w:rPr>
          <w:rFonts w:hint="eastAsia" w:ascii="仿宋" w:hAnsi="仿宋" w:eastAsia="仿宋" w:cs="仿宋"/>
          <w:sz w:val="24"/>
          <w:szCs w:val="24"/>
          <w:highlight w:val="none"/>
        </w:rPr>
        <w:t>□</w:t>
      </w:r>
      <w:r>
        <w:rPr>
          <w:rFonts w:hint="eastAsia" w:ascii="仿宋" w:hAnsi="仿宋" w:eastAsia="仿宋" w:cs="仿宋"/>
          <w:color w:val="000000"/>
          <w:kern w:val="0"/>
          <w:sz w:val="24"/>
          <w:szCs w:val="24"/>
          <w:highlight w:val="none"/>
        </w:rPr>
        <w:t>客户</w:t>
      </w:r>
      <w:r>
        <w:rPr>
          <w:rFonts w:hint="eastAsia" w:ascii="仿宋" w:hAnsi="仿宋" w:eastAsia="仿宋" w:cs="仿宋"/>
          <w:sz w:val="24"/>
          <w:szCs w:val="24"/>
          <w:highlight w:val="none"/>
        </w:rPr>
        <w:t>□</w:t>
      </w:r>
      <w:r>
        <w:rPr>
          <w:rFonts w:hint="eastAsia" w:ascii="仿宋" w:hAnsi="仿宋" w:eastAsia="仿宋" w:cs="仿宋"/>
          <w:color w:val="000000"/>
          <w:kern w:val="0"/>
          <w:sz w:val="24"/>
          <w:szCs w:val="24"/>
          <w:highlight w:val="none"/>
        </w:rPr>
        <w:t>员工</w:t>
      </w:r>
      <w:r>
        <w:rPr>
          <w:rFonts w:hint="eastAsia" w:ascii="仿宋" w:hAnsi="仿宋" w:eastAsia="仿宋" w:cs="仿宋"/>
          <w:sz w:val="24"/>
          <w:szCs w:val="24"/>
          <w:highlight w:val="none"/>
        </w:rPr>
        <w:t>□</w:t>
      </w:r>
      <w:r>
        <w:rPr>
          <w:rFonts w:hint="eastAsia" w:ascii="仿宋" w:hAnsi="仿宋" w:eastAsia="仿宋" w:cs="仿宋"/>
          <w:color w:val="000000"/>
          <w:kern w:val="0"/>
          <w:sz w:val="24"/>
          <w:szCs w:val="24"/>
          <w:highlight w:val="none"/>
        </w:rPr>
        <w:t>政府</w:t>
      </w:r>
      <w:r>
        <w:rPr>
          <w:rFonts w:hint="eastAsia" w:ascii="仿宋" w:hAnsi="仿宋" w:eastAsia="仿宋" w:cs="仿宋"/>
          <w:sz w:val="24"/>
          <w:szCs w:val="24"/>
          <w:highlight w:val="none"/>
        </w:rPr>
        <w:t>□</w:t>
      </w:r>
      <w:r>
        <w:rPr>
          <w:rFonts w:hint="eastAsia" w:ascii="仿宋" w:hAnsi="仿宋" w:eastAsia="仿宋" w:cs="仿宋"/>
          <w:color w:val="000000"/>
          <w:kern w:val="0"/>
          <w:sz w:val="24"/>
          <w:szCs w:val="24"/>
          <w:highlight w:val="none"/>
        </w:rPr>
        <w:t>监管机构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color w:val="000000"/>
          <w:kern w:val="0"/>
          <w:sz w:val="24"/>
          <w:szCs w:val="24"/>
          <w:highlight w:val="none"/>
        </w:rPr>
        <w:t>供应商与合作伙伴</w:t>
      </w:r>
      <w:r>
        <w:rPr>
          <w:rFonts w:hint="eastAsia" w:ascii="仿宋" w:hAnsi="仿宋" w:eastAsia="仿宋" w:cs="仿宋"/>
          <w:sz w:val="24"/>
          <w:szCs w:val="24"/>
          <w:highlight w:val="none"/>
        </w:rPr>
        <w:t>□</w:t>
      </w:r>
      <w:r>
        <w:rPr>
          <w:rFonts w:hint="eastAsia" w:ascii="仿宋" w:hAnsi="仿宋" w:eastAsia="仿宋" w:cs="仿宋"/>
          <w:color w:val="000000"/>
          <w:kern w:val="0"/>
          <w:sz w:val="24"/>
          <w:szCs w:val="24"/>
          <w:highlight w:val="none"/>
        </w:rPr>
        <w:t>社区</w:t>
      </w:r>
      <w:r>
        <w:rPr>
          <w:rFonts w:hint="eastAsia" w:ascii="仿宋" w:hAnsi="仿宋" w:eastAsia="仿宋" w:cs="仿宋"/>
          <w:sz w:val="24"/>
          <w:szCs w:val="24"/>
          <w:highlight w:val="none"/>
        </w:rPr>
        <w:t>□</w:t>
      </w:r>
      <w:r>
        <w:rPr>
          <w:rFonts w:hint="eastAsia" w:ascii="仿宋" w:hAnsi="仿宋" w:eastAsia="仿宋" w:cs="仿宋"/>
          <w:color w:val="000000"/>
          <w:kern w:val="0"/>
          <w:sz w:val="24"/>
          <w:szCs w:val="24"/>
          <w:highlight w:val="none"/>
        </w:rPr>
        <w:t>公众与媒体</w:t>
      </w:r>
      <w:r>
        <w:rPr>
          <w:rFonts w:hint="eastAsia" w:ascii="仿宋" w:hAnsi="仿宋" w:eastAsia="仿宋" w:cs="仿宋"/>
          <w:sz w:val="24"/>
          <w:szCs w:val="24"/>
          <w:highlight w:val="none"/>
        </w:rPr>
        <w:t>□</w:t>
      </w:r>
      <w:r>
        <w:rPr>
          <w:rFonts w:hint="eastAsia" w:ascii="仿宋" w:hAnsi="仿宋" w:eastAsia="仿宋" w:cs="仿宋"/>
          <w:color w:val="000000"/>
          <w:kern w:val="0"/>
          <w:sz w:val="24"/>
          <w:szCs w:val="24"/>
          <w:highlight w:val="none"/>
        </w:rPr>
        <w:t>其他</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您对本行企业社会责任报告的总体评价：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□好□较好□一般□较不好□不好</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您对本行履行经济、社会、环境责任的评价：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经济责任：□好□较好□一般□较不好□不好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社会责任：□好□较好□一般□较不好□不好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环境责任：□好□较好□一般□较不好□不好</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您认为本报告能否反映本行的社会责任实践对经济、社会、环境的影响？</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□能很好反映□能较好反映□能一般反映□不太能反映□不能反映</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您认为本报告披露的信息、数据、指标的清晰度、准确度和完整性如何？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清晰度：□好□较好□一般□较不好□不好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准确度：□好□较好□一般□较不好□不好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完整性：□好□较好□一般□较不好□不好</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您认为本报告的内容安排和版式设计是否方便阅读？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ascii="仿宋" w:hAnsi="仿宋" w:eastAsia="仿宋" w:cs="仿宋"/>
          <w:sz w:val="24"/>
          <w:szCs w:val="24"/>
          <w:highlight w:val="none"/>
        </w:rPr>
      </w:pPr>
      <w:r>
        <w:rPr>
          <w:rFonts w:hint="eastAsia" w:ascii="仿宋" w:hAnsi="仿宋" w:eastAsia="仿宋" w:cs="仿宋"/>
          <w:sz w:val="24"/>
          <w:szCs w:val="24"/>
          <w:highlight w:val="none"/>
        </w:rPr>
        <w:t>□是□一般□否</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您对本行企业社会责任工作和本报告的其他意见和建议。</w:t>
      </w:r>
    </w:p>
    <w:p>
      <w:pPr>
        <w:keepNext w:val="0"/>
        <w:keepLines w:val="0"/>
        <w:pageBreakBefore w:val="0"/>
        <w:kinsoku/>
        <w:wordWrap/>
        <w:overflowPunct/>
        <w:topLinePunct w:val="0"/>
        <w:autoSpaceDE/>
        <w:autoSpaceDN/>
        <w:bidi w:val="0"/>
        <w:snapToGrid/>
        <w:spacing w:line="600" w:lineRule="exact"/>
        <w:textAlignment w:val="auto"/>
        <w:rPr>
          <w:rFonts w:ascii="仿宋" w:hAnsi="仿宋" w:eastAsia="仿宋" w:cs="仿宋"/>
          <w:sz w:val="22"/>
          <w:szCs w:val="22"/>
          <w:highlight w:val="none"/>
        </w:rPr>
      </w:pPr>
    </w:p>
    <w:p>
      <w:pPr>
        <w:keepNext w:val="0"/>
        <w:keepLines w:val="0"/>
        <w:pageBreakBefore w:val="0"/>
        <w:numPr>
          <w:ilvl w:val="0"/>
          <w:numId w:val="0"/>
        </w:numPr>
        <w:kinsoku/>
        <w:wordWrap/>
        <w:overflowPunct/>
        <w:topLinePunct w:val="0"/>
        <w:autoSpaceDE/>
        <w:autoSpaceDN/>
        <w:bidi w:val="0"/>
        <w:snapToGrid/>
        <w:spacing w:line="600" w:lineRule="exact"/>
        <w:jc w:val="left"/>
        <w:textAlignment w:val="auto"/>
        <w:rPr>
          <w:rFonts w:hint="eastAsia" w:ascii="仿宋" w:hAnsi="仿宋" w:eastAsia="仿宋" w:cs="仿宋"/>
          <w:b/>
          <w:bCs/>
          <w:sz w:val="28"/>
          <w:szCs w:val="28"/>
          <w:lang w:val="en-US" w:eastAsia="zh-CN"/>
        </w:rPr>
      </w:pPr>
    </w:p>
    <w:p>
      <w:pPr>
        <w:keepNext w:val="0"/>
        <w:keepLines w:val="0"/>
        <w:pageBreakBefore w:val="0"/>
        <w:kinsoku/>
        <w:wordWrap/>
        <w:overflowPunct/>
        <w:topLinePunct w:val="0"/>
        <w:autoSpaceDE/>
        <w:autoSpaceDN/>
        <w:bidi w:val="0"/>
        <w:snapToGrid/>
        <w:spacing w:line="600" w:lineRule="exact"/>
        <w:textAlignment w:val="auto"/>
        <w:rPr>
          <w:rFonts w:hint="eastAsia" w:ascii="仿宋" w:hAnsi="仿宋" w:eastAsia="仿宋" w:cs="仿宋"/>
          <w:b/>
          <w:bCs/>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rPr>
        <w:rFonts w:hint="eastAsia" w:ascii="宋体" w:hAnsi="宋体" w:eastAsia="宋体" w:cs="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58F7"/>
    <w:multiLevelType w:val="singleLevel"/>
    <w:tmpl w:val="089D58F7"/>
    <w:lvl w:ilvl="0" w:tentative="0">
      <w:start w:val="1"/>
      <w:numFmt w:val="chineseCounting"/>
      <w:suff w:val="nothing"/>
      <w:lvlText w:val="%1、"/>
      <w:lvlJc w:val="left"/>
      <w:rPr>
        <w:rFonts w:hint="eastAsia"/>
      </w:rPr>
    </w:lvl>
  </w:abstractNum>
  <w:abstractNum w:abstractNumId="1">
    <w:nsid w:val="1273463E"/>
    <w:multiLevelType w:val="singleLevel"/>
    <w:tmpl w:val="1273463E"/>
    <w:lvl w:ilvl="0" w:tentative="0">
      <w:start w:val="1"/>
      <w:numFmt w:val="decimal"/>
      <w:lvlText w:val="%1."/>
      <w:lvlJc w:val="left"/>
      <w:pPr>
        <w:ind w:left="425" w:hanging="425"/>
      </w:pPr>
      <w:rPr>
        <w:rFonts w:hint="default"/>
      </w:rPr>
    </w:lvl>
  </w:abstractNum>
  <w:abstractNum w:abstractNumId="2">
    <w:nsid w:val="151217AE"/>
    <w:multiLevelType w:val="singleLevel"/>
    <w:tmpl w:val="151217AE"/>
    <w:lvl w:ilvl="0" w:tentative="0">
      <w:start w:val="3"/>
      <w:numFmt w:val="chineseCounting"/>
      <w:suff w:val="space"/>
      <w:lvlText w:val="第%1节"/>
      <w:lvlJc w:val="left"/>
      <w:rPr>
        <w:rFonts w:hint="eastAsia"/>
      </w:rPr>
    </w:lvl>
  </w:abstractNum>
  <w:abstractNum w:abstractNumId="3">
    <w:nsid w:val="48E281F6"/>
    <w:multiLevelType w:val="singleLevel"/>
    <w:tmpl w:val="48E281F6"/>
    <w:lvl w:ilvl="0" w:tentative="0">
      <w:start w:val="1"/>
      <w:numFmt w:val="chineseCounting"/>
      <w:suff w:val="space"/>
      <w:lvlText w:val="第%1节"/>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A6B38"/>
    <w:rsid w:val="038140E6"/>
    <w:rsid w:val="04897799"/>
    <w:rsid w:val="048C4C33"/>
    <w:rsid w:val="052C719D"/>
    <w:rsid w:val="076B00D8"/>
    <w:rsid w:val="08950206"/>
    <w:rsid w:val="08E628C0"/>
    <w:rsid w:val="0981197F"/>
    <w:rsid w:val="0A577AC6"/>
    <w:rsid w:val="0C576EBD"/>
    <w:rsid w:val="0C6641B3"/>
    <w:rsid w:val="0DA150F5"/>
    <w:rsid w:val="0EFC6F58"/>
    <w:rsid w:val="12AB4C4B"/>
    <w:rsid w:val="13C01A62"/>
    <w:rsid w:val="13DC1813"/>
    <w:rsid w:val="147658B5"/>
    <w:rsid w:val="14A22BC5"/>
    <w:rsid w:val="18495F04"/>
    <w:rsid w:val="192E12E2"/>
    <w:rsid w:val="19DD4628"/>
    <w:rsid w:val="1B2A1472"/>
    <w:rsid w:val="1DFF5500"/>
    <w:rsid w:val="1EA84AEB"/>
    <w:rsid w:val="227E462E"/>
    <w:rsid w:val="238C1FCF"/>
    <w:rsid w:val="24685EFC"/>
    <w:rsid w:val="26E5387A"/>
    <w:rsid w:val="288F31DA"/>
    <w:rsid w:val="28C12E2E"/>
    <w:rsid w:val="29812BC3"/>
    <w:rsid w:val="2A165FE0"/>
    <w:rsid w:val="2C930892"/>
    <w:rsid w:val="2DC73EF7"/>
    <w:rsid w:val="2E18054D"/>
    <w:rsid w:val="2E817976"/>
    <w:rsid w:val="2FEF1A21"/>
    <w:rsid w:val="3103168E"/>
    <w:rsid w:val="332C7427"/>
    <w:rsid w:val="369C408E"/>
    <w:rsid w:val="36EE5B1F"/>
    <w:rsid w:val="37A4468E"/>
    <w:rsid w:val="3B3E6B85"/>
    <w:rsid w:val="3BED73AC"/>
    <w:rsid w:val="3E772E9D"/>
    <w:rsid w:val="407341E5"/>
    <w:rsid w:val="42CF6B2E"/>
    <w:rsid w:val="43530CFB"/>
    <w:rsid w:val="44035847"/>
    <w:rsid w:val="44D72E5B"/>
    <w:rsid w:val="477D6A73"/>
    <w:rsid w:val="478D5FA1"/>
    <w:rsid w:val="47D26D73"/>
    <w:rsid w:val="49334476"/>
    <w:rsid w:val="4D634455"/>
    <w:rsid w:val="4E7F035C"/>
    <w:rsid w:val="4EF42C0A"/>
    <w:rsid w:val="4F295208"/>
    <w:rsid w:val="4F4D7371"/>
    <w:rsid w:val="50A324ED"/>
    <w:rsid w:val="512F09A7"/>
    <w:rsid w:val="5242391E"/>
    <w:rsid w:val="52934EF4"/>
    <w:rsid w:val="545A4345"/>
    <w:rsid w:val="54656B1A"/>
    <w:rsid w:val="55262462"/>
    <w:rsid w:val="57C50466"/>
    <w:rsid w:val="58494D38"/>
    <w:rsid w:val="5A0C7465"/>
    <w:rsid w:val="5A3E33DF"/>
    <w:rsid w:val="5A593714"/>
    <w:rsid w:val="5A923736"/>
    <w:rsid w:val="5AD32A01"/>
    <w:rsid w:val="5ADB5E14"/>
    <w:rsid w:val="5C316C98"/>
    <w:rsid w:val="5D1219A6"/>
    <w:rsid w:val="61B546E4"/>
    <w:rsid w:val="6359382B"/>
    <w:rsid w:val="6426162C"/>
    <w:rsid w:val="68337D0F"/>
    <w:rsid w:val="68E8091E"/>
    <w:rsid w:val="69A16071"/>
    <w:rsid w:val="6A2F09B2"/>
    <w:rsid w:val="6AC1406F"/>
    <w:rsid w:val="6C7A53DD"/>
    <w:rsid w:val="6EBF18A1"/>
    <w:rsid w:val="6ECE54E6"/>
    <w:rsid w:val="6EE61184"/>
    <w:rsid w:val="6EFA1B04"/>
    <w:rsid w:val="6FDB1138"/>
    <w:rsid w:val="70566D8E"/>
    <w:rsid w:val="714C3362"/>
    <w:rsid w:val="71AC3484"/>
    <w:rsid w:val="71C64BF4"/>
    <w:rsid w:val="72AD6F16"/>
    <w:rsid w:val="750E63F1"/>
    <w:rsid w:val="77364334"/>
    <w:rsid w:val="788F6554"/>
    <w:rsid w:val="7EB947D4"/>
    <w:rsid w:val="7F893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after="260" w:afterLines="0" w:line="416" w:lineRule="auto"/>
      <w:outlineLvl w:val="1"/>
    </w:pPr>
    <w:rPr>
      <w:rFonts w:ascii="Cambria" w:hAnsi="Cambria"/>
      <w:b/>
      <w:bCs/>
      <w:kern w:val="2"/>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300" w:lineRule="auto"/>
      <w:ind w:left="315" w:firstLine="585"/>
    </w:pPr>
    <w:rPr>
      <w:sz w:val="24"/>
      <w:szCs w:val="20"/>
    </w:r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szCs w:val="22"/>
    </w:rPr>
  </w:style>
  <w:style w:type="paragraph" w:styleId="6">
    <w:name w:val="Balloon Text"/>
    <w:basedOn w:val="1"/>
    <w:next w:val="7"/>
    <w:unhideWhenUsed/>
    <w:qFormat/>
    <w:uiPriority w:val="99"/>
    <w:rPr>
      <w:sz w:val="18"/>
      <w:szCs w:val="18"/>
    </w:rPr>
  </w:style>
  <w:style w:type="paragraph" w:styleId="7">
    <w:name w:val="toc 9"/>
    <w:basedOn w:val="1"/>
    <w:next w:val="1"/>
    <w:qFormat/>
    <w:uiPriority w:val="0"/>
    <w:pPr>
      <w:widowControl w:val="0"/>
      <w:ind w:left="3360" w:leftChars="1600"/>
    </w:pPr>
    <w:rPr>
      <w:rFonts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2022-03-08T09:25:00Z</dcterms:created>
  <dc:creator>何雨秋</dc:creator>
  <cp:lastModifiedBy>小江</cp:lastModifiedBy>
  <dcterms:modified xsi:type="dcterms:W3CDTF">2026-05-12T09:33:25Z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2052-11.8.2.9075</vt:lpwstr>
  </property>
  <property fmtid="{D5CDD505-2E9C-101B-9397-08002B2CF9AE}" pid="3" name="ICV">
    <vt:lpwstr>56D87DA1EA0E4020BF7ED0D1681C291C</vt:lpwstr>
  </property>
</Properties>
</file>