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jc w:val="center"/>
        <w:rPr>
          <w:rFonts w:hint="eastAsia"/>
        </w:rPr>
      </w:pPr>
      <w:r>
        <w:rPr>
          <w:rFonts w:hint="eastAsia"/>
          <w:lang w:eastAsia="zh-CN"/>
        </w:rPr>
        <w:t>聊城沪农商村镇</w:t>
      </w:r>
      <w:r>
        <w:rPr>
          <w:rFonts w:hint="eastAsia"/>
        </w:rPr>
        <w:t>银行2025年度可持续信息披露报告</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一、概况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（一）编制说明</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报告范围：本报告以</w:t>
      </w:r>
      <w:r>
        <w:rPr>
          <w:rFonts w:hint="eastAsia" w:ascii="仿宋_GB2312" w:hAnsi="仿宋_GB2312" w:eastAsia="仿宋_GB2312" w:cs="仿宋_GB2312"/>
          <w:sz w:val="32"/>
          <w:szCs w:val="32"/>
          <w:lang w:eastAsia="zh-CN"/>
        </w:rPr>
        <w:t>聊城沪农商村镇</w:t>
      </w:r>
      <w:r>
        <w:rPr>
          <w:rFonts w:hint="eastAsia" w:ascii="仿宋_GB2312" w:hAnsi="仿宋_GB2312" w:eastAsia="仿宋_GB2312" w:cs="仿宋_GB2312"/>
          <w:sz w:val="32"/>
          <w:szCs w:val="32"/>
        </w:rPr>
        <w:t>银行为主体，覆盖</w:t>
      </w:r>
      <w:r>
        <w:rPr>
          <w:rFonts w:hint="eastAsia" w:ascii="仿宋_GB2312" w:hAnsi="仿宋_GB2312" w:eastAsia="仿宋_GB2312" w:cs="仿宋_GB2312"/>
          <w:sz w:val="32"/>
          <w:szCs w:val="32"/>
          <w:lang w:eastAsia="zh-CN"/>
        </w:rPr>
        <w:t>总行</w:t>
      </w:r>
      <w:r>
        <w:rPr>
          <w:rFonts w:hint="eastAsia" w:ascii="仿宋_GB2312" w:hAnsi="仿宋_GB2312" w:eastAsia="仿宋_GB2312" w:cs="仿宋_GB2312"/>
          <w:sz w:val="32"/>
          <w:szCs w:val="32"/>
        </w:rPr>
        <w:t>本部及辖内</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家分支机构。报告时间范围：2025年1月1日‑12月31日。</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编制依据：遵循中国人民银行《金融机构可持续信息披露指南（试用稿）》及监管相关工作要求编制。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编制原则：坚持真实性、完整性、重要性、及时性、可比性原则，客观中立披露可持续发展相关风险、机遇与实践成效。</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信息来源：行内业务统计报表、可持续发展信息采集台账、授信客户提交资料、运营管理统计数据等。</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（二）基本情况</w:t>
      </w:r>
    </w:p>
    <w:p>
      <w:pPr>
        <w:spacing w:line="560" w:lineRule="exact"/>
        <w:ind w:firstLine="640" w:firstLineChars="200"/>
        <w:rPr>
          <w:rFonts w:hint="eastAsia" w:ascii="仿宋_GB2312" w:eastAsia="仿宋_GB2312" w:cs="仿宋_GB2312"/>
          <w:sz w:val="32"/>
          <w:szCs w:val="32"/>
          <w:highlight w:val="none"/>
          <w:lang w:bidi="ar-SA"/>
        </w:rPr>
      </w:pPr>
      <w:r>
        <w:rPr>
          <w:rFonts w:hint="eastAsia" w:ascii="仿宋_GB2312" w:eastAsia="仿宋_GB2312" w:cs="仿宋_GB2312"/>
          <w:sz w:val="32"/>
          <w:szCs w:val="32"/>
          <w:highlight w:val="none"/>
          <w:lang w:val="en-US" w:eastAsia="zh-CN" w:bidi="ar-SA"/>
        </w:rPr>
        <w:t>聊城村行</w:t>
      </w:r>
      <w:r>
        <w:rPr>
          <w:rFonts w:hint="eastAsia" w:ascii="仿宋_GB2312" w:eastAsia="仿宋_GB2312" w:cs="仿宋_GB2312"/>
          <w:sz w:val="32"/>
          <w:szCs w:val="32"/>
          <w:highlight w:val="none"/>
          <w:lang w:bidi="ar-SA"/>
        </w:rPr>
        <w:t>成立于</w:t>
      </w:r>
      <w:r>
        <w:rPr>
          <w:rFonts w:hint="eastAsia" w:ascii="仿宋_GB2312" w:eastAsia="仿宋_GB2312" w:cs="仿宋_GB2312"/>
          <w:sz w:val="32"/>
          <w:szCs w:val="32"/>
          <w:highlight w:val="none"/>
          <w:lang w:val="en-US" w:eastAsia="zh-CN" w:bidi="ar-SA"/>
        </w:rPr>
        <w:t>2012</w:t>
      </w:r>
      <w:r>
        <w:rPr>
          <w:rFonts w:hint="eastAsia" w:ascii="仿宋_GB2312" w:eastAsia="仿宋_GB2312" w:cs="仿宋_GB2312"/>
          <w:sz w:val="32"/>
          <w:szCs w:val="32"/>
          <w:highlight w:val="none"/>
          <w:lang w:bidi="ar-SA"/>
        </w:rPr>
        <w:t>年</w:t>
      </w:r>
      <w:r>
        <w:rPr>
          <w:rFonts w:hint="eastAsia" w:ascii="仿宋_GB2312" w:eastAsia="仿宋_GB2312" w:cs="仿宋_GB2312"/>
          <w:sz w:val="32"/>
          <w:szCs w:val="32"/>
          <w:highlight w:val="none"/>
          <w:lang w:val="en-US" w:eastAsia="zh-CN" w:bidi="ar-SA"/>
        </w:rPr>
        <w:t>5</w:t>
      </w:r>
      <w:r>
        <w:rPr>
          <w:rFonts w:hint="eastAsia" w:ascii="仿宋_GB2312" w:eastAsia="仿宋_GB2312" w:cs="仿宋_GB2312"/>
          <w:sz w:val="32"/>
          <w:szCs w:val="32"/>
          <w:highlight w:val="none"/>
          <w:lang w:bidi="ar-SA"/>
        </w:rPr>
        <w:t>月</w:t>
      </w:r>
      <w:r>
        <w:rPr>
          <w:rFonts w:hint="eastAsia" w:ascii="仿宋_GB2312" w:eastAsia="仿宋_GB2312" w:cs="仿宋_GB2312"/>
          <w:sz w:val="32"/>
          <w:szCs w:val="32"/>
          <w:highlight w:val="none"/>
          <w:lang w:val="en-US" w:eastAsia="zh-CN" w:bidi="ar-SA"/>
        </w:rPr>
        <w:t>30</w:t>
      </w:r>
      <w:r>
        <w:rPr>
          <w:rFonts w:hint="eastAsia" w:ascii="仿宋_GB2312" w:eastAsia="仿宋_GB2312" w:cs="仿宋_GB2312"/>
          <w:sz w:val="32"/>
          <w:szCs w:val="32"/>
          <w:highlight w:val="none"/>
          <w:lang w:bidi="ar-SA"/>
        </w:rPr>
        <w:t>日，是由上海农商银行发起设立的具有独立法人资格的村镇银行。注册资本</w:t>
      </w:r>
      <w:r>
        <w:rPr>
          <w:rFonts w:hint="eastAsia" w:ascii="仿宋_GB2312" w:eastAsia="仿宋_GB2312" w:cs="仿宋_GB2312"/>
          <w:sz w:val="32"/>
          <w:szCs w:val="32"/>
          <w:highlight w:val="none"/>
          <w:lang w:val="en-US" w:eastAsia="zh-CN" w:bidi="ar-SA"/>
        </w:rPr>
        <w:t>5000</w:t>
      </w:r>
      <w:r>
        <w:rPr>
          <w:rFonts w:hint="eastAsia" w:ascii="仿宋_GB2312" w:eastAsia="仿宋_GB2312" w:cs="仿宋_GB2312"/>
          <w:sz w:val="32"/>
          <w:szCs w:val="32"/>
          <w:highlight w:val="none"/>
          <w:lang w:bidi="ar-SA"/>
        </w:rPr>
        <w:t>万元，组织形式为股份有限公司，地址位于</w:t>
      </w:r>
      <w:r>
        <w:rPr>
          <w:rFonts w:hint="eastAsia" w:ascii="仿宋_GB2312" w:eastAsia="仿宋_GB2312" w:cs="仿宋_GB2312"/>
          <w:sz w:val="32"/>
          <w:szCs w:val="32"/>
          <w:highlight w:val="none"/>
          <w:lang w:val="en-US" w:eastAsia="zh-CN" w:bidi="ar-SA"/>
        </w:rPr>
        <w:t>聊城市东昌府区兴华东路67号</w:t>
      </w:r>
      <w:r>
        <w:rPr>
          <w:rFonts w:hint="eastAsia" w:ascii="仿宋_GB2312" w:eastAsia="仿宋_GB2312" w:cs="仿宋_GB2312"/>
          <w:sz w:val="32"/>
          <w:szCs w:val="32"/>
          <w:highlight w:val="none"/>
          <w:lang w:bidi="ar-SA"/>
        </w:rPr>
        <w:t>。</w:t>
      </w:r>
      <w:r>
        <w:rPr>
          <w:rFonts w:hint="eastAsia" w:ascii="仿宋_GB2312" w:eastAsia="仿宋_GB2312" w:cs="仿宋_GB2312"/>
          <w:sz w:val="32"/>
          <w:szCs w:val="32"/>
          <w:highlight w:val="none"/>
          <w:lang w:val="en-US" w:eastAsia="zh-CN" w:bidi="ar-SA"/>
        </w:rPr>
        <w:t>聊城村行下</w:t>
      </w:r>
      <w:r>
        <w:rPr>
          <w:rFonts w:hint="eastAsia" w:ascii="仿宋_GB2312" w:eastAsia="仿宋_GB2312" w:cs="仿宋_GB2312"/>
          <w:sz w:val="32"/>
          <w:szCs w:val="32"/>
          <w:highlight w:val="none"/>
          <w:lang w:bidi="ar-SA"/>
        </w:rPr>
        <w:t>设</w:t>
      </w:r>
      <w:r>
        <w:rPr>
          <w:rFonts w:hint="eastAsia" w:ascii="仿宋_GB2312" w:eastAsia="仿宋_GB2312" w:cs="仿宋_GB2312"/>
          <w:sz w:val="32"/>
          <w:szCs w:val="32"/>
          <w:highlight w:val="none"/>
          <w:lang w:val="en-US" w:eastAsia="zh-CN" w:bidi="ar-SA"/>
        </w:rPr>
        <w:t>4</w:t>
      </w:r>
      <w:r>
        <w:rPr>
          <w:rFonts w:hint="eastAsia" w:ascii="仿宋_GB2312" w:eastAsia="仿宋_GB2312" w:cs="仿宋_GB2312"/>
          <w:sz w:val="32"/>
          <w:szCs w:val="32"/>
          <w:highlight w:val="none"/>
          <w:lang w:bidi="ar-SA"/>
        </w:rPr>
        <w:t>个</w:t>
      </w:r>
      <w:r>
        <w:rPr>
          <w:rFonts w:hint="eastAsia" w:ascii="仿宋_GB2312" w:eastAsia="仿宋_GB2312" w:cs="仿宋_GB2312"/>
          <w:sz w:val="32"/>
          <w:szCs w:val="32"/>
          <w:highlight w:val="none"/>
          <w:lang w:val="en-US" w:eastAsia="zh-CN" w:bidi="ar-SA"/>
        </w:rPr>
        <w:t>职能</w:t>
      </w:r>
      <w:r>
        <w:rPr>
          <w:rFonts w:hint="eastAsia" w:ascii="仿宋_GB2312" w:eastAsia="仿宋_GB2312" w:cs="仿宋_GB2312"/>
          <w:sz w:val="32"/>
          <w:szCs w:val="32"/>
          <w:highlight w:val="none"/>
          <w:lang w:bidi="ar-SA"/>
        </w:rPr>
        <w:t>部门，</w:t>
      </w:r>
      <w:r>
        <w:rPr>
          <w:rFonts w:hint="eastAsia" w:ascii="仿宋_GB2312" w:eastAsia="仿宋_GB2312" w:cs="仿宋_GB2312"/>
          <w:sz w:val="32"/>
          <w:szCs w:val="32"/>
          <w:highlight w:val="none"/>
          <w:lang w:val="en-US" w:eastAsia="zh-CN" w:bidi="ar-SA"/>
        </w:rPr>
        <w:t>4</w:t>
      </w:r>
      <w:r>
        <w:rPr>
          <w:rFonts w:hint="eastAsia" w:ascii="仿宋_GB2312" w:eastAsia="仿宋_GB2312" w:cs="仿宋_GB2312"/>
          <w:sz w:val="32"/>
          <w:szCs w:val="32"/>
          <w:highlight w:val="none"/>
          <w:lang w:bidi="ar-SA"/>
        </w:rPr>
        <w:t>支业务团队，</w:t>
      </w:r>
      <w:r>
        <w:rPr>
          <w:rFonts w:hint="eastAsia" w:ascii="仿宋_GB2312" w:eastAsia="仿宋_GB2312" w:cs="仿宋_GB2312"/>
          <w:sz w:val="32"/>
          <w:szCs w:val="32"/>
          <w:highlight w:val="none"/>
          <w:lang w:val="en-US" w:eastAsia="zh-CN" w:bidi="ar-SA"/>
        </w:rPr>
        <w:t>1</w:t>
      </w:r>
      <w:r>
        <w:rPr>
          <w:rFonts w:hint="eastAsia" w:ascii="仿宋_GB2312" w:eastAsia="仿宋_GB2312" w:cs="仿宋_GB2312"/>
          <w:sz w:val="32"/>
          <w:szCs w:val="32"/>
          <w:highlight w:val="none"/>
          <w:lang w:bidi="ar-SA"/>
        </w:rPr>
        <w:t>个综合性分支机构，员工</w:t>
      </w:r>
      <w:r>
        <w:rPr>
          <w:rFonts w:hint="eastAsia" w:ascii="仿宋_GB2312" w:eastAsia="仿宋_GB2312" w:cs="仿宋_GB2312"/>
          <w:sz w:val="32"/>
          <w:szCs w:val="32"/>
          <w:highlight w:val="none"/>
          <w:lang w:val="en-US" w:eastAsia="zh-CN" w:bidi="ar-SA"/>
        </w:rPr>
        <w:t>51</w:t>
      </w:r>
      <w:r>
        <w:rPr>
          <w:rFonts w:hint="eastAsia" w:ascii="仿宋_GB2312" w:eastAsia="仿宋_GB2312" w:cs="仿宋_GB2312"/>
          <w:sz w:val="32"/>
          <w:szCs w:val="32"/>
          <w:highlight w:val="none"/>
          <w:lang w:bidi="ar-SA"/>
        </w:rPr>
        <w:t>人。截至2025年12月末，资产总额5.78亿元，</w:t>
      </w:r>
      <w:r>
        <w:rPr>
          <w:rFonts w:hint="eastAsia" w:ascii="仿宋_GB2312" w:eastAsia="仿宋_GB2312" w:cs="仿宋_GB2312"/>
          <w:sz w:val="32"/>
          <w:szCs w:val="32"/>
          <w:highlight w:val="none"/>
          <w:lang w:eastAsia="zh-CN" w:bidi="ar-SA"/>
        </w:rPr>
        <w:t>负债</w:t>
      </w:r>
      <w:r>
        <w:rPr>
          <w:rFonts w:hint="eastAsia" w:ascii="仿宋_GB2312" w:eastAsia="仿宋_GB2312" w:cs="仿宋_GB2312"/>
          <w:sz w:val="32"/>
          <w:szCs w:val="32"/>
          <w:highlight w:val="none"/>
          <w:lang w:bidi="ar-SA"/>
        </w:rPr>
        <w:t>总额5.35亿元，所有者权益0.43亿元，存款余额5.13亿元，贷款余额4.83亿元，净利润-889.62万元。</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（三）可持续相关工作与成效</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关键成效指标</w:t>
      </w:r>
    </w:p>
    <w:tbl>
      <w:tblPr>
        <w:tblStyle w:val="13"/>
        <w:tblW w:w="8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5"/>
        <w:gridCol w:w="4582"/>
        <w:gridCol w:w="1889"/>
        <w:gridCol w:w="1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45" w:type="dxa"/>
            <w:shd w:val="clear" w:color="auto" w:fill="F1F1F1" w:themeFill="background1" w:themeFillShade="F2"/>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eastAsia" w:ascii="黑体" w:hAnsi="黑体" w:eastAsia="黑体" w:cs="黑体"/>
                <w:b w:val="0"/>
                <w:bCs w:val="0"/>
                <w:color w:val="auto"/>
                <w:kern w:val="0"/>
                <w:sz w:val="28"/>
                <w:szCs w:val="28"/>
                <w:highlight w:val="none"/>
              </w:rPr>
            </w:pPr>
            <w:r>
              <w:rPr>
                <w:rFonts w:hint="eastAsia" w:ascii="黑体" w:hAnsi="黑体" w:eastAsia="黑体" w:cs="黑体"/>
                <w:b w:val="0"/>
                <w:bCs w:val="0"/>
                <w:color w:val="auto"/>
                <w:kern w:val="0"/>
                <w:sz w:val="28"/>
                <w:szCs w:val="28"/>
                <w:highlight w:val="none"/>
              </w:rPr>
              <w:t>类别</w:t>
            </w:r>
          </w:p>
        </w:tc>
        <w:tc>
          <w:tcPr>
            <w:tcW w:w="4582" w:type="dxa"/>
            <w:shd w:val="clear" w:color="auto" w:fill="F1F1F1" w:themeFill="background1" w:themeFillShade="F2"/>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eastAsia" w:ascii="黑体" w:hAnsi="黑体" w:eastAsia="黑体" w:cs="黑体"/>
                <w:b w:val="0"/>
                <w:bCs w:val="0"/>
                <w:color w:val="auto"/>
                <w:kern w:val="0"/>
                <w:sz w:val="28"/>
                <w:szCs w:val="28"/>
                <w:highlight w:val="none"/>
              </w:rPr>
            </w:pPr>
            <w:r>
              <w:rPr>
                <w:rFonts w:hint="eastAsia" w:ascii="黑体" w:hAnsi="黑体" w:eastAsia="黑体" w:cs="黑体"/>
                <w:b w:val="0"/>
                <w:bCs w:val="0"/>
                <w:color w:val="auto"/>
                <w:kern w:val="0"/>
                <w:sz w:val="28"/>
                <w:szCs w:val="28"/>
                <w:highlight w:val="none"/>
              </w:rPr>
              <w:t>指标</w:t>
            </w:r>
          </w:p>
        </w:tc>
        <w:tc>
          <w:tcPr>
            <w:tcW w:w="1889" w:type="dxa"/>
            <w:shd w:val="clear" w:color="auto" w:fill="F1F1F1" w:themeFill="background1" w:themeFillShade="F2"/>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eastAsia" w:ascii="黑体" w:hAnsi="黑体" w:eastAsia="黑体" w:cs="黑体"/>
                <w:b w:val="0"/>
                <w:bCs w:val="0"/>
                <w:color w:val="auto"/>
                <w:kern w:val="0"/>
                <w:sz w:val="28"/>
                <w:szCs w:val="28"/>
                <w:highlight w:val="none"/>
              </w:rPr>
            </w:pPr>
            <w:r>
              <w:rPr>
                <w:rFonts w:hint="eastAsia" w:ascii="黑体" w:hAnsi="黑体" w:eastAsia="黑体" w:cs="黑体"/>
                <w:b w:val="0"/>
                <w:bCs w:val="0"/>
                <w:color w:val="auto"/>
                <w:kern w:val="0"/>
                <w:sz w:val="28"/>
                <w:szCs w:val="28"/>
                <w:highlight w:val="none"/>
              </w:rPr>
              <w:t>单位</w:t>
            </w:r>
          </w:p>
        </w:tc>
        <w:tc>
          <w:tcPr>
            <w:tcW w:w="1483" w:type="dxa"/>
            <w:shd w:val="clear" w:color="auto" w:fill="F1F1F1" w:themeFill="background1" w:themeFillShade="F2"/>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eastAsia" w:ascii="黑体" w:hAnsi="黑体" w:eastAsia="黑体" w:cs="黑体"/>
                <w:b w:val="0"/>
                <w:bCs w:val="0"/>
                <w:color w:val="auto"/>
                <w:kern w:val="0"/>
                <w:sz w:val="28"/>
                <w:szCs w:val="28"/>
                <w:highlight w:val="none"/>
                <w:lang w:val="en-US" w:eastAsia="zh-CN"/>
              </w:rPr>
            </w:pPr>
            <w:r>
              <w:rPr>
                <w:rFonts w:hint="eastAsia" w:ascii="黑体" w:hAnsi="黑体" w:eastAsia="黑体" w:cs="黑体"/>
                <w:b w:val="0"/>
                <w:bCs w:val="0"/>
                <w:color w:val="auto"/>
                <w:kern w:val="0"/>
                <w:sz w:val="28"/>
                <w:szCs w:val="28"/>
                <w:highlight w:val="none"/>
                <w:lang w:val="en-US" w:eastAsia="zh-CN"/>
              </w:rPr>
              <w:t>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45" w:type="dxa"/>
            <w:vMerge w:val="restart"/>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eastAsia" w:ascii="仿宋_GB2312" w:hAnsi="仿宋_GB2312" w:eastAsia="仿宋_GB2312" w:cs="仿宋_GB2312"/>
                <w:b w:val="0"/>
                <w:bCs w:val="0"/>
                <w:color w:val="auto"/>
                <w:kern w:val="0"/>
                <w:sz w:val="28"/>
                <w:szCs w:val="28"/>
                <w:highlight w:val="none"/>
              </w:rPr>
            </w:pPr>
            <w:r>
              <w:rPr>
                <w:rFonts w:hint="eastAsia" w:ascii="仿宋_GB2312" w:hAnsi="仿宋_GB2312" w:eastAsia="仿宋_GB2312" w:cs="仿宋_GB2312"/>
                <w:b w:val="0"/>
                <w:bCs w:val="0"/>
                <w:color w:val="auto"/>
                <w:kern w:val="0"/>
                <w:sz w:val="28"/>
                <w:szCs w:val="28"/>
                <w:highlight w:val="none"/>
              </w:rPr>
              <w:t>绿色金融业务</w:t>
            </w:r>
          </w:p>
        </w:tc>
        <w:tc>
          <w:tcPr>
            <w:tcW w:w="4582" w:type="dxa"/>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left"/>
              <w:textAlignment w:val="auto"/>
              <w:rPr>
                <w:rFonts w:hint="eastAsia" w:ascii="仿宋_GB2312" w:hAnsi="仿宋_GB2312" w:eastAsia="仿宋_GB2312" w:cs="仿宋_GB2312"/>
                <w:b w:val="0"/>
                <w:bCs w:val="0"/>
                <w:color w:val="auto"/>
                <w:kern w:val="0"/>
                <w:sz w:val="28"/>
                <w:szCs w:val="28"/>
                <w:highlight w:val="none"/>
              </w:rPr>
            </w:pPr>
            <w:r>
              <w:rPr>
                <w:rFonts w:hint="eastAsia" w:ascii="仿宋_GB2312" w:hAnsi="仿宋_GB2312" w:eastAsia="仿宋_GB2312" w:cs="仿宋_GB2312"/>
                <w:b w:val="0"/>
                <w:bCs w:val="0"/>
                <w:color w:val="auto"/>
                <w:kern w:val="0"/>
                <w:sz w:val="28"/>
                <w:szCs w:val="28"/>
                <w:highlight w:val="none"/>
              </w:rPr>
              <w:t>贷款余额</w:t>
            </w:r>
          </w:p>
        </w:tc>
        <w:tc>
          <w:tcPr>
            <w:tcW w:w="1889" w:type="dxa"/>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eastAsia" w:ascii="仿宋_GB2312" w:hAnsi="仿宋_GB2312" w:eastAsia="仿宋_GB2312" w:cs="仿宋_GB2312"/>
                <w:b w:val="0"/>
                <w:bCs w:val="0"/>
                <w:color w:val="auto"/>
                <w:kern w:val="0"/>
                <w:sz w:val="28"/>
                <w:szCs w:val="28"/>
                <w:highlight w:val="none"/>
              </w:rPr>
            </w:pPr>
            <w:r>
              <w:rPr>
                <w:rFonts w:hint="eastAsia" w:ascii="仿宋_GB2312" w:hAnsi="仿宋_GB2312" w:eastAsia="仿宋_GB2312" w:cs="仿宋_GB2312"/>
                <w:b w:val="0"/>
                <w:bCs w:val="0"/>
                <w:color w:val="auto"/>
                <w:kern w:val="0"/>
                <w:sz w:val="28"/>
                <w:szCs w:val="28"/>
                <w:highlight w:val="none"/>
              </w:rPr>
              <w:t>万元</w:t>
            </w:r>
          </w:p>
        </w:tc>
        <w:tc>
          <w:tcPr>
            <w:tcW w:w="1483" w:type="dxa"/>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default" w:ascii="仿宋_GB2312" w:hAnsi="仿宋_GB2312" w:eastAsia="仿宋_GB2312" w:cs="仿宋_GB2312"/>
                <w:b w:val="0"/>
                <w:bCs w:val="0"/>
                <w:color w:val="auto"/>
                <w:kern w:val="0"/>
                <w:sz w:val="28"/>
                <w:szCs w:val="28"/>
                <w:highlight w:val="none"/>
                <w:lang w:val="en-US" w:eastAsia="zh-CN"/>
              </w:rPr>
            </w:pPr>
            <w:r>
              <w:rPr>
                <w:rFonts w:hint="eastAsia" w:ascii="仿宋_GB2312" w:hAnsi="仿宋_GB2312" w:eastAsia="仿宋_GB2312" w:cs="仿宋_GB2312"/>
                <w:b w:val="0"/>
                <w:bCs w:val="0"/>
                <w:color w:val="auto"/>
                <w:kern w:val="0"/>
                <w:sz w:val="28"/>
                <w:szCs w:val="28"/>
                <w:highlight w:val="none"/>
                <w:lang w:val="en-US" w:eastAsia="zh-CN"/>
              </w:rPr>
              <w:t>48296.8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45" w:type="dxa"/>
            <w:vMerge w:val="continue"/>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eastAsia" w:ascii="仿宋_GB2312" w:hAnsi="仿宋_GB2312" w:eastAsia="仿宋_GB2312" w:cs="仿宋_GB2312"/>
                <w:b w:val="0"/>
                <w:bCs w:val="0"/>
                <w:color w:val="auto"/>
                <w:kern w:val="0"/>
                <w:sz w:val="28"/>
                <w:szCs w:val="28"/>
                <w:highlight w:val="none"/>
              </w:rPr>
            </w:pPr>
          </w:p>
        </w:tc>
        <w:tc>
          <w:tcPr>
            <w:tcW w:w="4582" w:type="dxa"/>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left"/>
              <w:textAlignment w:val="auto"/>
              <w:rPr>
                <w:rFonts w:hint="eastAsia" w:ascii="仿宋_GB2312" w:hAnsi="仿宋_GB2312" w:eastAsia="仿宋_GB2312" w:cs="仿宋_GB2312"/>
                <w:b w:val="0"/>
                <w:bCs w:val="0"/>
                <w:color w:val="auto"/>
                <w:kern w:val="0"/>
                <w:sz w:val="28"/>
                <w:szCs w:val="28"/>
                <w:highlight w:val="none"/>
              </w:rPr>
            </w:pPr>
            <w:r>
              <w:rPr>
                <w:rFonts w:hint="eastAsia" w:ascii="仿宋_GB2312" w:hAnsi="仿宋_GB2312" w:eastAsia="仿宋_GB2312" w:cs="仿宋_GB2312"/>
                <w:b w:val="0"/>
                <w:bCs w:val="0"/>
                <w:color w:val="auto"/>
                <w:kern w:val="0"/>
                <w:sz w:val="28"/>
                <w:szCs w:val="28"/>
                <w:highlight w:val="none"/>
              </w:rPr>
              <w:t>绿色信贷余额</w:t>
            </w:r>
          </w:p>
        </w:tc>
        <w:tc>
          <w:tcPr>
            <w:tcW w:w="1889" w:type="dxa"/>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eastAsia" w:ascii="仿宋_GB2312" w:hAnsi="仿宋_GB2312" w:eastAsia="仿宋_GB2312" w:cs="仿宋_GB2312"/>
                <w:b w:val="0"/>
                <w:bCs w:val="0"/>
                <w:color w:val="auto"/>
                <w:kern w:val="0"/>
                <w:sz w:val="28"/>
                <w:szCs w:val="28"/>
                <w:highlight w:val="none"/>
              </w:rPr>
            </w:pPr>
            <w:r>
              <w:rPr>
                <w:rFonts w:hint="eastAsia" w:ascii="仿宋_GB2312" w:hAnsi="仿宋_GB2312" w:eastAsia="仿宋_GB2312" w:cs="仿宋_GB2312"/>
                <w:b w:val="0"/>
                <w:bCs w:val="0"/>
                <w:color w:val="auto"/>
                <w:kern w:val="0"/>
                <w:sz w:val="28"/>
                <w:szCs w:val="28"/>
                <w:highlight w:val="none"/>
              </w:rPr>
              <w:t>万元</w:t>
            </w:r>
          </w:p>
        </w:tc>
        <w:tc>
          <w:tcPr>
            <w:tcW w:w="1483" w:type="dxa"/>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default" w:ascii="仿宋_GB2312" w:hAnsi="仿宋_GB2312" w:eastAsia="仿宋_GB2312" w:cs="仿宋_GB2312"/>
                <w:b w:val="0"/>
                <w:bCs w:val="0"/>
                <w:color w:val="auto"/>
                <w:kern w:val="0"/>
                <w:sz w:val="28"/>
                <w:szCs w:val="28"/>
                <w:highlight w:val="none"/>
                <w:lang w:val="en-US" w:eastAsia="zh-CN"/>
              </w:rPr>
            </w:pPr>
            <w:r>
              <w:rPr>
                <w:rFonts w:hint="eastAsia" w:ascii="仿宋_GB2312" w:hAnsi="仿宋_GB2312" w:eastAsia="仿宋_GB2312" w:cs="仿宋_GB2312"/>
                <w:b w:val="0"/>
                <w:bCs w:val="0"/>
                <w:color w:val="auto"/>
                <w:kern w:val="0"/>
                <w:sz w:val="28"/>
                <w:szCs w:val="28"/>
                <w:highlight w:val="none"/>
                <w:lang w:val="en-US" w:eastAsia="zh-CN"/>
              </w:rPr>
              <w:t>241.39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45" w:type="dxa"/>
            <w:vMerge w:val="continue"/>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eastAsia" w:ascii="仿宋_GB2312" w:hAnsi="仿宋_GB2312" w:eastAsia="仿宋_GB2312" w:cs="仿宋_GB2312"/>
                <w:b w:val="0"/>
                <w:bCs w:val="0"/>
                <w:color w:val="auto"/>
                <w:kern w:val="0"/>
                <w:sz w:val="28"/>
                <w:szCs w:val="28"/>
                <w:highlight w:val="none"/>
              </w:rPr>
            </w:pPr>
          </w:p>
        </w:tc>
        <w:tc>
          <w:tcPr>
            <w:tcW w:w="4582" w:type="dxa"/>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left"/>
              <w:textAlignment w:val="auto"/>
              <w:rPr>
                <w:rFonts w:hint="eastAsia" w:ascii="仿宋_GB2312" w:hAnsi="仿宋_GB2312" w:eastAsia="仿宋_GB2312" w:cs="仿宋_GB2312"/>
                <w:b w:val="0"/>
                <w:bCs w:val="0"/>
                <w:color w:val="auto"/>
                <w:kern w:val="0"/>
                <w:sz w:val="28"/>
                <w:szCs w:val="28"/>
                <w:highlight w:val="none"/>
              </w:rPr>
            </w:pPr>
            <w:r>
              <w:rPr>
                <w:rFonts w:hint="eastAsia" w:ascii="仿宋_GB2312" w:hAnsi="仿宋_GB2312" w:eastAsia="仿宋_GB2312" w:cs="仿宋_GB2312"/>
                <w:b w:val="0"/>
                <w:bCs w:val="0"/>
                <w:color w:val="auto"/>
                <w:kern w:val="0"/>
                <w:sz w:val="28"/>
                <w:szCs w:val="28"/>
                <w:highlight w:val="none"/>
              </w:rPr>
              <w:t>其中：较年初增加</w:t>
            </w:r>
          </w:p>
        </w:tc>
        <w:tc>
          <w:tcPr>
            <w:tcW w:w="1889" w:type="dxa"/>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eastAsia" w:ascii="仿宋_GB2312" w:hAnsi="仿宋_GB2312" w:eastAsia="仿宋_GB2312" w:cs="仿宋_GB2312"/>
                <w:b w:val="0"/>
                <w:bCs w:val="0"/>
                <w:color w:val="auto"/>
                <w:kern w:val="0"/>
                <w:sz w:val="28"/>
                <w:szCs w:val="28"/>
                <w:highlight w:val="none"/>
              </w:rPr>
            </w:pPr>
            <w:r>
              <w:rPr>
                <w:rFonts w:hint="eastAsia" w:ascii="仿宋_GB2312" w:hAnsi="仿宋_GB2312" w:eastAsia="仿宋_GB2312" w:cs="仿宋_GB2312"/>
                <w:b w:val="0"/>
                <w:bCs w:val="0"/>
                <w:color w:val="auto"/>
                <w:kern w:val="0"/>
                <w:sz w:val="28"/>
                <w:szCs w:val="28"/>
                <w:highlight w:val="none"/>
              </w:rPr>
              <w:t>万元</w:t>
            </w:r>
          </w:p>
        </w:tc>
        <w:tc>
          <w:tcPr>
            <w:tcW w:w="1483" w:type="dxa"/>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default" w:ascii="仿宋_GB2312" w:hAnsi="仿宋_GB2312" w:eastAsia="仿宋_GB2312" w:cs="仿宋_GB2312"/>
                <w:b w:val="0"/>
                <w:bCs w:val="0"/>
                <w:color w:val="auto"/>
                <w:kern w:val="0"/>
                <w:sz w:val="28"/>
                <w:szCs w:val="28"/>
                <w:highlight w:val="none"/>
                <w:lang w:val="en-US" w:eastAsia="zh-CN"/>
              </w:rPr>
            </w:pPr>
            <w:r>
              <w:rPr>
                <w:rFonts w:hint="eastAsia" w:ascii="仿宋_GB2312" w:hAnsi="仿宋_GB2312" w:eastAsia="仿宋_GB2312" w:cs="仿宋_GB2312"/>
                <w:b w:val="0"/>
                <w:bCs w:val="0"/>
                <w:color w:val="auto"/>
                <w:kern w:val="0"/>
                <w:sz w:val="28"/>
                <w:szCs w:val="28"/>
                <w:highlight w:val="none"/>
                <w:lang w:val="en-US" w:eastAsia="zh-CN"/>
              </w:rPr>
              <w:t>138.97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45" w:type="dxa"/>
            <w:vMerge w:val="continue"/>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eastAsia" w:ascii="仿宋_GB2312" w:hAnsi="仿宋_GB2312" w:eastAsia="仿宋_GB2312" w:cs="仿宋_GB2312"/>
                <w:b w:val="0"/>
                <w:bCs w:val="0"/>
                <w:color w:val="auto"/>
                <w:kern w:val="0"/>
                <w:sz w:val="28"/>
                <w:szCs w:val="28"/>
                <w:highlight w:val="none"/>
              </w:rPr>
            </w:pPr>
          </w:p>
        </w:tc>
        <w:tc>
          <w:tcPr>
            <w:tcW w:w="4582" w:type="dxa"/>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left"/>
              <w:textAlignment w:val="auto"/>
              <w:rPr>
                <w:rFonts w:hint="eastAsia" w:ascii="仿宋_GB2312" w:hAnsi="仿宋_GB2312" w:eastAsia="仿宋_GB2312" w:cs="仿宋_GB2312"/>
                <w:b w:val="0"/>
                <w:bCs w:val="0"/>
                <w:color w:val="auto"/>
                <w:kern w:val="0"/>
                <w:sz w:val="28"/>
                <w:szCs w:val="28"/>
                <w:highlight w:val="none"/>
              </w:rPr>
            </w:pPr>
            <w:r>
              <w:rPr>
                <w:rFonts w:hint="eastAsia" w:ascii="仿宋_GB2312" w:hAnsi="仿宋_GB2312" w:eastAsia="仿宋_GB2312" w:cs="仿宋_GB2312"/>
                <w:b w:val="0"/>
                <w:bCs w:val="0"/>
                <w:color w:val="auto"/>
                <w:kern w:val="0"/>
                <w:sz w:val="28"/>
                <w:szCs w:val="28"/>
                <w:highlight w:val="none"/>
              </w:rPr>
              <w:t>较年初增幅</w:t>
            </w:r>
          </w:p>
        </w:tc>
        <w:tc>
          <w:tcPr>
            <w:tcW w:w="1889" w:type="dxa"/>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eastAsia" w:ascii="仿宋_GB2312" w:hAnsi="仿宋_GB2312" w:eastAsia="仿宋_GB2312" w:cs="仿宋_GB2312"/>
                <w:b w:val="0"/>
                <w:bCs w:val="0"/>
                <w:color w:val="auto"/>
                <w:kern w:val="0"/>
                <w:sz w:val="28"/>
                <w:szCs w:val="28"/>
                <w:highlight w:val="none"/>
              </w:rPr>
            </w:pPr>
            <w:r>
              <w:rPr>
                <w:rFonts w:hint="eastAsia" w:ascii="仿宋_GB2312" w:hAnsi="仿宋_GB2312" w:eastAsia="仿宋_GB2312" w:cs="仿宋_GB2312"/>
                <w:b w:val="0"/>
                <w:bCs w:val="0"/>
                <w:color w:val="auto"/>
                <w:kern w:val="0"/>
                <w:sz w:val="28"/>
                <w:szCs w:val="28"/>
                <w:highlight w:val="none"/>
              </w:rPr>
              <w:t>%</w:t>
            </w:r>
          </w:p>
        </w:tc>
        <w:tc>
          <w:tcPr>
            <w:tcW w:w="1483" w:type="dxa"/>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default" w:ascii="仿宋_GB2312" w:hAnsi="仿宋_GB2312" w:eastAsia="仿宋_GB2312" w:cs="仿宋_GB2312"/>
                <w:b w:val="0"/>
                <w:bCs w:val="0"/>
                <w:color w:val="auto"/>
                <w:kern w:val="0"/>
                <w:sz w:val="28"/>
                <w:szCs w:val="28"/>
                <w:highlight w:val="none"/>
                <w:lang w:val="en-US" w:eastAsia="zh-CN"/>
              </w:rPr>
            </w:pPr>
            <w:r>
              <w:rPr>
                <w:rFonts w:hint="eastAsia" w:ascii="仿宋_GB2312" w:hAnsi="仿宋_GB2312" w:eastAsia="仿宋_GB2312" w:cs="仿宋_GB2312"/>
                <w:b w:val="0"/>
                <w:bCs w:val="0"/>
                <w:color w:val="auto"/>
                <w:kern w:val="0"/>
                <w:sz w:val="28"/>
                <w:szCs w:val="28"/>
                <w:highlight w:val="none"/>
                <w:lang w:val="en-US" w:eastAsia="zh-CN"/>
              </w:rPr>
              <w:t>135.69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45" w:type="dxa"/>
            <w:vMerge w:val="continue"/>
            <w:vAlign w:val="center"/>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eastAsia" w:ascii="仿宋_GB2312" w:hAnsi="仿宋_GB2312" w:eastAsia="仿宋_GB2312" w:cs="仿宋_GB2312"/>
                <w:b w:val="0"/>
                <w:bCs w:val="0"/>
                <w:color w:val="auto"/>
                <w:kern w:val="0"/>
                <w:sz w:val="28"/>
                <w:szCs w:val="28"/>
                <w:highlight w:val="none"/>
              </w:rPr>
            </w:pPr>
          </w:p>
        </w:tc>
        <w:tc>
          <w:tcPr>
            <w:tcW w:w="4582" w:type="dxa"/>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left"/>
              <w:textAlignment w:val="auto"/>
              <w:rPr>
                <w:rFonts w:hint="eastAsia" w:ascii="仿宋_GB2312" w:hAnsi="仿宋_GB2312" w:eastAsia="仿宋_GB2312" w:cs="仿宋_GB2312"/>
                <w:b w:val="0"/>
                <w:bCs w:val="0"/>
                <w:color w:val="auto"/>
                <w:kern w:val="0"/>
                <w:sz w:val="28"/>
                <w:szCs w:val="28"/>
                <w:highlight w:val="none"/>
              </w:rPr>
            </w:pPr>
            <w:r>
              <w:rPr>
                <w:rFonts w:hint="eastAsia" w:ascii="仿宋_GB2312" w:hAnsi="仿宋_GB2312" w:eastAsia="仿宋_GB2312" w:cs="仿宋_GB2312"/>
                <w:b w:val="0"/>
                <w:bCs w:val="0"/>
                <w:color w:val="auto"/>
                <w:kern w:val="0"/>
                <w:sz w:val="28"/>
                <w:szCs w:val="28"/>
                <w:highlight w:val="none"/>
              </w:rPr>
              <w:t>绿色债券余额</w:t>
            </w:r>
          </w:p>
        </w:tc>
        <w:tc>
          <w:tcPr>
            <w:tcW w:w="1889" w:type="dxa"/>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eastAsia" w:ascii="仿宋_GB2312" w:hAnsi="仿宋_GB2312" w:eastAsia="仿宋_GB2312" w:cs="仿宋_GB2312"/>
                <w:b w:val="0"/>
                <w:bCs w:val="0"/>
                <w:color w:val="auto"/>
                <w:kern w:val="0"/>
                <w:sz w:val="28"/>
                <w:szCs w:val="28"/>
                <w:highlight w:val="none"/>
              </w:rPr>
            </w:pPr>
            <w:r>
              <w:rPr>
                <w:rFonts w:hint="eastAsia" w:ascii="仿宋_GB2312" w:hAnsi="仿宋_GB2312" w:eastAsia="仿宋_GB2312" w:cs="仿宋_GB2312"/>
                <w:b w:val="0"/>
                <w:bCs w:val="0"/>
                <w:color w:val="auto"/>
                <w:kern w:val="0"/>
                <w:sz w:val="28"/>
                <w:szCs w:val="28"/>
                <w:highlight w:val="none"/>
              </w:rPr>
              <w:t>万元</w:t>
            </w:r>
          </w:p>
        </w:tc>
        <w:tc>
          <w:tcPr>
            <w:tcW w:w="1483" w:type="dxa"/>
          </w:tcPr>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center"/>
              <w:textAlignment w:val="auto"/>
              <w:rPr>
                <w:rFonts w:hint="eastAsia" w:ascii="仿宋_GB2312" w:hAnsi="仿宋_GB2312" w:eastAsia="仿宋_GB2312" w:cs="仿宋_GB2312"/>
                <w:b w:val="0"/>
                <w:bCs w:val="0"/>
                <w:color w:val="auto"/>
                <w:kern w:val="0"/>
                <w:sz w:val="28"/>
                <w:szCs w:val="28"/>
                <w:highlight w:val="none"/>
                <w:lang w:val="en-US" w:eastAsia="zh-CN"/>
              </w:rPr>
            </w:pPr>
            <w:r>
              <w:rPr>
                <w:rFonts w:hint="eastAsia" w:ascii="仿宋_GB2312" w:hAnsi="仿宋_GB2312" w:eastAsia="仿宋_GB2312" w:cs="仿宋_GB2312"/>
                <w:b w:val="0"/>
                <w:bCs w:val="0"/>
                <w:color w:val="auto"/>
                <w:kern w:val="0"/>
                <w:sz w:val="28"/>
                <w:szCs w:val="28"/>
                <w:highlight w:val="none"/>
                <w:lang w:val="en-US" w:eastAsia="zh-CN"/>
              </w:rPr>
              <w:t>0</w:t>
            </w:r>
          </w:p>
        </w:tc>
      </w:tr>
    </w:tbl>
    <w:p/>
    <w:tbl>
      <w:tblPr>
        <w:tblStyle w:val="12"/>
        <w:tblpPr w:leftFromText="180" w:rightFromText="180" w:vertAnchor="text" w:horzAnchor="page" w:tblpX="1679" w:tblpY="19"/>
        <w:tblOverlap w:val="never"/>
        <w:tblW w:w="879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99"/>
        <w:gridCol w:w="2200"/>
        <w:gridCol w:w="2200"/>
        <w:gridCol w:w="2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08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自然资源消耗与温室气体排放</w:t>
            </w:r>
          </w:p>
        </w:tc>
        <w:tc>
          <w:tcPr>
            <w:tcW w:w="108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营业、办公所消耗电力</w:t>
            </w:r>
          </w:p>
        </w:tc>
        <w:tc>
          <w:tcPr>
            <w:tcW w:w="108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兆瓦时</w:t>
            </w:r>
          </w:p>
        </w:tc>
        <w:tc>
          <w:tcPr>
            <w:tcW w:w="108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trPr>
        <w:tc>
          <w:tcPr>
            <w:tcW w:w="108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iCs w:val="0"/>
                <w:color w:val="000000"/>
                <w:sz w:val="28"/>
                <w:szCs w:val="28"/>
                <w:u w:val="none"/>
              </w:rPr>
            </w:pP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营业、办公所消耗的水</w:t>
            </w:r>
            <w:r>
              <w:rPr>
                <w:rStyle w:val="19"/>
                <w:rFonts w:hAnsi="宋体"/>
                <w:lang w:val="en-US" w:eastAsia="zh-CN" w:bidi="ar"/>
              </w:rPr>
              <w:t>[]</w:t>
            </w: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标准立方米</w:t>
            </w: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789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5" w:hRule="atLeast"/>
        </w:trPr>
        <w:tc>
          <w:tcPr>
            <w:tcW w:w="108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iCs w:val="0"/>
                <w:color w:val="000000"/>
                <w:sz w:val="28"/>
                <w:szCs w:val="28"/>
                <w:u w:val="none"/>
              </w:rPr>
            </w:pP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营业、办公所消耗的燃气</w:t>
            </w: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吨</w:t>
            </w: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0" w:hRule="atLeast"/>
        </w:trPr>
        <w:tc>
          <w:tcPr>
            <w:tcW w:w="108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仿宋_GB2312" w:hAnsi="宋体" w:eastAsia="仿宋_GB2312" w:cs="仿宋_GB2312"/>
                <w:i w:val="0"/>
                <w:iCs w:val="0"/>
                <w:color w:val="000000"/>
                <w:sz w:val="28"/>
                <w:szCs w:val="28"/>
                <w:u w:val="none"/>
              </w:rPr>
            </w:pP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自有交通运输工具消耗的柴油量</w:t>
            </w: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升</w:t>
            </w:r>
          </w:p>
        </w:tc>
        <w:tc>
          <w:tcPr>
            <w:tcW w:w="108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0</w:t>
            </w:r>
          </w:p>
        </w:tc>
      </w:tr>
    </w:tbl>
    <w:p>
      <w:pPr>
        <w:rPr>
          <w:rFonts w:hint="eastAsia" w:ascii="仿宋_GB2312" w:hAnsi="仿宋_GB2312" w:eastAsia="仿宋_GB2312" w:cs="仿宋_GB2312"/>
          <w:sz w:val="32"/>
          <w:szCs w:val="32"/>
        </w:rPr>
      </w:pPr>
    </w:p>
    <w:p>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注释：①用水量可参照本地综合水价进行折算；②二氧化碳当量，指辐射强度等效的二氧化碳量，计算公式：温室气体质量×全球变暖潜势GWP值。</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可持续战略、治理、制度、业务及风险管理成效</w:t>
      </w:r>
    </w:p>
    <w:p>
      <w:pPr>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sz w:val="32"/>
          <w:szCs w:val="32"/>
          <w:lang w:val="en-US" w:eastAsia="zh-CN"/>
        </w:rPr>
        <w:t>2025年，聊城村行</w:t>
      </w:r>
      <w:r>
        <w:rPr>
          <w:rFonts w:hint="eastAsia" w:ascii="仿宋_GB2312" w:hAnsi="仿宋_GB2312" w:eastAsia="仿宋_GB2312" w:cs="仿宋_GB2312"/>
          <w:b w:val="0"/>
          <w:bCs w:val="0"/>
          <w:color w:val="auto"/>
          <w:sz w:val="32"/>
          <w:szCs w:val="32"/>
          <w:highlight w:val="none"/>
          <w:lang w:val="en-US" w:eastAsia="zh-CN"/>
        </w:rPr>
        <w:t>始终坚守经营定位，全力聚焦支农支小主责主业，深入贯彻“三个坚持”战略部署，面对宏观经济承压、市场竞争加剧、风险防控压力上升等多重挑战，我行统筹稳增长、调结构、防风险，经营运行总体有序。</w:t>
      </w:r>
    </w:p>
    <w:p>
      <w:pPr>
        <w:pStyle w:val="11"/>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60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i w:val="0"/>
          <w:iCs w:val="0"/>
          <w:caps w:val="0"/>
          <w:color w:val="auto"/>
          <w:spacing w:val="0"/>
          <w:sz w:val="32"/>
          <w:szCs w:val="32"/>
          <w:highlight w:val="none"/>
          <w:lang w:val="en-US" w:eastAsia="zh-CN"/>
        </w:rPr>
        <w:t>一是将营销区域按团队进行网格化划分。科学划分直接决定信贷投放效能与市场深耕质量，同时可以降低客户经理营销成本，倡导绿色低碳</w:t>
      </w:r>
      <w:r>
        <w:rPr>
          <w:rFonts w:hint="eastAsia" w:ascii="仿宋_GB2312" w:hAnsi="仿宋_GB2312" w:eastAsia="仿宋_GB2312" w:cs="仿宋_GB2312"/>
          <w:b w:val="0"/>
          <w:bCs w:val="0"/>
          <w:color w:val="auto"/>
          <w:kern w:val="2"/>
          <w:sz w:val="32"/>
          <w:szCs w:val="32"/>
          <w:highlight w:val="none"/>
          <w:lang w:val="en-US" w:eastAsia="zh-CN" w:bidi="ar-SA"/>
        </w:rPr>
        <w:t>。</w:t>
      </w:r>
    </w:p>
    <w:p>
      <w:pPr>
        <w:pStyle w:val="11"/>
        <w:keepNext w:val="0"/>
        <w:keepLines w:val="0"/>
        <w:pageBreakBefore w:val="0"/>
        <w:widowControl/>
        <w:suppressLineNumbers w:val="0"/>
        <w:kinsoku/>
        <w:wordWrap/>
        <w:overflowPunct/>
        <w:topLinePunct w:val="0"/>
        <w:autoSpaceDE/>
        <w:autoSpaceDN/>
        <w:bidi w:val="0"/>
        <w:spacing w:before="0" w:beforeAutospacing="0" w:after="0" w:afterAutospacing="0" w:line="600" w:lineRule="exact"/>
        <w:ind w:left="0" w:right="0"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i w:val="0"/>
          <w:iCs w:val="0"/>
          <w:caps w:val="0"/>
          <w:color w:val="auto"/>
          <w:spacing w:val="0"/>
          <w:sz w:val="32"/>
          <w:szCs w:val="32"/>
          <w:highlight w:val="none"/>
          <w:lang w:val="en-US" w:eastAsia="zh-CN"/>
        </w:rPr>
        <w:t>二是</w:t>
      </w:r>
      <w:r>
        <w:rPr>
          <w:rFonts w:hint="eastAsia" w:ascii="仿宋_GB2312" w:hAnsi="仿宋_GB2312" w:eastAsia="仿宋_GB2312" w:cs="仿宋_GB2312"/>
          <w:b w:val="0"/>
          <w:bCs w:val="0"/>
          <w:color w:val="auto"/>
          <w:sz w:val="32"/>
          <w:szCs w:val="32"/>
          <w:highlight w:val="none"/>
          <w:lang w:val="en-US" w:eastAsia="zh-CN"/>
        </w:rPr>
        <w:t>督导全行坚守“支农支小”市场定位，助力乡村振兴发展。坚定村居方向和步伐，信贷投放向微贷业务转型，强化与当地乡镇政府、村委合作，深入乡村因地制宜开展“整村授信”“诚信村建设”，推进微贷业务稳步增长，以实际行动助力乡村振兴。截止2025年末，与区内460多个村建立了信贷关系，与86个村党支部签订了党建共建协议，建立村居农户档案9400余户。</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600" w:lineRule="exact"/>
        <w:ind w:left="0"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三是继续向一线倾斜信贷资源，始终聚焦农户、新型农业经营主体等核心群体，精准对接金融需求，全力破解融资难题，为地方乡村振兴和经济发展注入金融活水。推行“一站式”办贷服务，让村民足不出村就能办理存款、贷款、转账等基础金融业务，打通了农村金融服务“最后一公里”，切实提升了农村群众的金融获得感与满意度。</w:t>
      </w:r>
    </w:p>
    <w:p>
      <w:pPr>
        <w:pStyle w:val="11"/>
        <w:keepNext w:val="0"/>
        <w:keepLines w:val="0"/>
        <w:pageBreakBefore w:val="0"/>
        <w:widowControl/>
        <w:suppressLineNumbers w:val="0"/>
        <w:kinsoku/>
        <w:wordWrap/>
        <w:overflowPunct/>
        <w:topLinePunct w:val="0"/>
        <w:autoSpaceDE/>
        <w:autoSpaceDN/>
        <w:bidi w:val="0"/>
        <w:spacing w:before="0" w:beforeAutospacing="0" w:after="0" w:afterAutospacing="0" w:line="600" w:lineRule="exact"/>
        <w:ind w:left="0" w:right="0" w:firstLine="640" w:firstLineChars="200"/>
        <w:jc w:val="both"/>
        <w:textAlignment w:val="auto"/>
        <w:outlineLvl w:val="9"/>
        <w:rPr>
          <w:rFonts w:hint="eastAsia" w:ascii="仿宋_GB2312" w:hAnsi="仿宋_GB2312" w:eastAsia="仿宋_GB2312" w:cs="仿宋_GB2312"/>
          <w:b w:val="0"/>
          <w:bCs w:val="0"/>
          <w:i w:val="0"/>
          <w:iCs w:val="0"/>
          <w:caps w:val="0"/>
          <w:color w:val="auto"/>
          <w:spacing w:val="0"/>
          <w:sz w:val="32"/>
          <w:szCs w:val="32"/>
          <w:highlight w:val="none"/>
        </w:rPr>
      </w:pPr>
      <w:r>
        <w:rPr>
          <w:rStyle w:val="15"/>
          <w:rFonts w:hint="eastAsia" w:ascii="仿宋_GB2312" w:hAnsi="仿宋_GB2312" w:eastAsia="仿宋_GB2312" w:cs="仿宋_GB2312"/>
          <w:b w:val="0"/>
          <w:bCs w:val="0"/>
          <w:i w:val="0"/>
          <w:iCs w:val="0"/>
          <w:caps w:val="0"/>
          <w:color w:val="auto"/>
          <w:spacing w:val="0"/>
          <w:sz w:val="32"/>
          <w:szCs w:val="32"/>
          <w:highlight w:val="none"/>
          <w:lang w:val="en-US" w:eastAsia="zh-CN"/>
        </w:rPr>
        <w:t>四是</w:t>
      </w:r>
      <w:r>
        <w:rPr>
          <w:rFonts w:hint="eastAsia" w:ascii="仿宋_GB2312" w:hAnsi="仿宋_GB2312" w:eastAsia="仿宋_GB2312" w:cs="仿宋_GB2312"/>
          <w:b w:val="0"/>
          <w:bCs w:val="0"/>
          <w:color w:val="auto"/>
          <w:kern w:val="2"/>
          <w:sz w:val="32"/>
          <w:szCs w:val="32"/>
          <w:highlight w:val="none"/>
          <w:lang w:val="en-US" w:eastAsia="zh-CN" w:bidi="ar-SA"/>
        </w:rPr>
        <w:t>严控风险，夯实资产质量。严格落实“三查制度”，建立风险预警台账，风险管理部安排专人负责存量客户的贷后回访。严防信用风险，确保可持续发展。</w:t>
      </w:r>
    </w:p>
    <w:p>
      <w:pPr>
        <w:numPr>
          <w:ilvl w:val="0"/>
          <w:numId w:val="1"/>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战略规划</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（一）战略规划</w:t>
      </w:r>
    </w:p>
    <w:p>
      <w:pPr>
        <w:keepNext w:val="0"/>
        <w:keepLines w:val="0"/>
        <w:pageBreakBefore w:val="0"/>
        <w:kinsoku/>
        <w:wordWrap/>
        <w:overflowPunct/>
        <w:topLinePunct w:val="0"/>
        <w:autoSpaceDE/>
        <w:autoSpaceDN/>
        <w:bidi w:val="0"/>
        <w:spacing w:beforeAutospacing="0" w:afterAutospacing="0" w:line="600" w:lineRule="exact"/>
        <w:ind w:left="0" w:firstLine="640" w:firstLineChars="200"/>
        <w:jc w:val="both"/>
        <w:textAlignment w:val="auto"/>
        <w:outlineLvl w:val="9"/>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1、</w:t>
      </w:r>
      <w:r>
        <w:rPr>
          <w:rFonts w:hint="eastAsia" w:ascii="仿宋_GB2312" w:hAnsi="仿宋_GB2312" w:eastAsia="仿宋_GB2312" w:cs="仿宋_GB2312"/>
          <w:b w:val="0"/>
          <w:bCs w:val="0"/>
          <w:color w:val="auto"/>
          <w:sz w:val="32"/>
          <w:szCs w:val="32"/>
          <w:highlight w:val="none"/>
        </w:rPr>
        <w:t>完善公司治理机制，提高法人治理水平。一是</w:t>
      </w:r>
      <w:r>
        <w:rPr>
          <w:rFonts w:hint="eastAsia" w:ascii="仿宋_GB2312" w:hAnsi="仿宋_GB2312" w:eastAsia="仿宋_GB2312" w:cs="仿宋_GB2312"/>
          <w:b w:val="0"/>
          <w:bCs w:val="0"/>
          <w:color w:val="auto"/>
          <w:kern w:val="0"/>
          <w:sz w:val="32"/>
          <w:szCs w:val="32"/>
          <w:highlight w:val="none"/>
        </w:rPr>
        <w:t>深化党在公司治理的领导作用，将党组织研究讨论作为董事会、高级管理层决策重大事项的前置程序，建立决策、经营、监督相互制约、相互监督机制和科学有效的激励机制，促进各项业务</w:t>
      </w:r>
      <w:r>
        <w:rPr>
          <w:rFonts w:hint="eastAsia" w:ascii="仿宋_GB2312" w:hAnsi="仿宋_GB2312" w:eastAsia="仿宋_GB2312" w:cs="仿宋_GB2312"/>
          <w:b w:val="0"/>
          <w:bCs w:val="0"/>
          <w:color w:val="auto"/>
          <w:kern w:val="0"/>
          <w:sz w:val="32"/>
          <w:szCs w:val="32"/>
          <w:highlight w:val="none"/>
          <w:lang w:eastAsia="zh-CN"/>
        </w:rPr>
        <w:t>可持续</w:t>
      </w:r>
      <w:r>
        <w:rPr>
          <w:rFonts w:hint="eastAsia" w:ascii="仿宋_GB2312" w:hAnsi="仿宋_GB2312" w:eastAsia="仿宋_GB2312" w:cs="仿宋_GB2312"/>
          <w:b w:val="0"/>
          <w:bCs w:val="0"/>
          <w:color w:val="auto"/>
          <w:kern w:val="0"/>
          <w:sz w:val="32"/>
          <w:szCs w:val="32"/>
          <w:highlight w:val="none"/>
        </w:rPr>
        <w:t>发展。</w:t>
      </w:r>
      <w:r>
        <w:rPr>
          <w:rFonts w:hint="eastAsia" w:ascii="仿宋_GB2312" w:hAnsi="仿宋_GB2312" w:eastAsia="仿宋_GB2312" w:cs="仿宋_GB2312"/>
          <w:b w:val="0"/>
          <w:bCs w:val="0"/>
          <w:color w:val="auto"/>
          <w:sz w:val="32"/>
          <w:szCs w:val="32"/>
          <w:highlight w:val="none"/>
        </w:rPr>
        <w:t>二是</w:t>
      </w:r>
      <w:r>
        <w:rPr>
          <w:rFonts w:hint="eastAsia" w:ascii="仿宋_GB2312" w:hAnsi="仿宋_GB2312" w:eastAsia="仿宋_GB2312" w:cs="仿宋_GB2312"/>
          <w:b w:val="0"/>
          <w:bCs w:val="0"/>
          <w:color w:val="auto"/>
          <w:sz w:val="32"/>
          <w:szCs w:val="32"/>
          <w:highlight w:val="none"/>
          <w:lang w:val="en-US" w:eastAsia="zh-CN"/>
        </w:rPr>
        <w:t>加强对股东股权交易、质押、涉诉等动态监测管理，切实做好股东股权管理。</w:t>
      </w:r>
      <w:r>
        <w:rPr>
          <w:rFonts w:hint="eastAsia" w:ascii="仿宋_GB2312" w:hAnsi="仿宋_GB2312" w:eastAsia="仿宋_GB2312" w:cs="仿宋_GB2312"/>
          <w:b w:val="0"/>
          <w:bCs w:val="0"/>
          <w:color w:val="auto"/>
          <w:sz w:val="32"/>
          <w:szCs w:val="32"/>
          <w:highlight w:val="none"/>
        </w:rPr>
        <w:t>三是加强关联交易管理，防范关联交易风险。</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sz w:val="32"/>
          <w:szCs w:val="32"/>
          <w:highlight w:val="none"/>
          <w:lang w:val="en-US" w:eastAsia="zh-CN"/>
        </w:rPr>
        <w:t>2、</w:t>
      </w:r>
      <w:r>
        <w:rPr>
          <w:rFonts w:hint="eastAsia" w:ascii="仿宋_GB2312" w:hAnsi="仿宋_GB2312" w:eastAsia="仿宋_GB2312" w:cs="仿宋_GB2312"/>
          <w:b w:val="0"/>
          <w:bCs w:val="0"/>
          <w:color w:val="auto"/>
          <w:sz w:val="32"/>
          <w:szCs w:val="32"/>
          <w:highlight w:val="none"/>
        </w:rPr>
        <w:t>多措并举，强化信用风险防控。</w:t>
      </w:r>
      <w:r>
        <w:rPr>
          <w:rFonts w:hint="eastAsia" w:ascii="仿宋_GB2312" w:hAnsi="仿宋_GB2312" w:eastAsia="仿宋_GB2312" w:cs="仿宋_GB2312"/>
          <w:b w:val="0"/>
          <w:bCs w:val="0"/>
          <w:color w:val="auto"/>
          <w:kern w:val="2"/>
          <w:sz w:val="32"/>
          <w:szCs w:val="32"/>
          <w:highlight w:val="none"/>
          <w:lang w:val="en-US" w:eastAsia="zh-CN" w:bidi="ar-SA"/>
        </w:rPr>
        <w:t>一是通过业务培训、情景演练、现场考察讲解等方式，让信贷人员明方向、有尺度，坚定扎根农村，坚持做小做散，有效把控村居业务风险。</w:t>
      </w:r>
      <w:r>
        <w:rPr>
          <w:rFonts w:hint="eastAsia" w:ascii="仿宋_GB2312" w:hAnsi="仿宋_GB2312" w:eastAsia="仿宋_GB2312" w:cs="仿宋_GB2312"/>
          <w:b w:val="0"/>
          <w:bCs w:val="0"/>
          <w:color w:val="auto"/>
          <w:sz w:val="32"/>
          <w:szCs w:val="32"/>
          <w:highlight w:val="none"/>
        </w:rPr>
        <w:t>二是严控新增不良贷款，通过信贷全流程管理，对信用风险持续监测，强化大额贷款风险管控，强化贷后管理职能，实现早预警、早发现、早处置</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三</w:t>
      </w:r>
      <w:r>
        <w:rPr>
          <w:rFonts w:hint="eastAsia" w:ascii="仿宋_GB2312" w:hAnsi="仿宋_GB2312" w:eastAsia="仿宋_GB2312" w:cs="仿宋_GB2312"/>
          <w:b w:val="0"/>
          <w:bCs w:val="0"/>
          <w:color w:val="auto"/>
          <w:kern w:val="2"/>
          <w:sz w:val="32"/>
          <w:szCs w:val="32"/>
          <w:highlight w:val="none"/>
          <w:lang w:val="en-US" w:eastAsia="zh-CN" w:bidi="ar-SA"/>
        </w:rPr>
        <w:t>是持续推进信贷客户回访机制，及时发现和防范操作风险、道德风险。四是加大不良贷款和已核销贷款的清收力度，降低信贷资产损失。</w:t>
      </w:r>
    </w:p>
    <w:p>
      <w:pPr>
        <w:keepNext w:val="0"/>
        <w:keepLines w:val="0"/>
        <w:pageBreakBefore w:val="0"/>
        <w:kinsoku/>
        <w:wordWrap/>
        <w:overflowPunct/>
        <w:topLinePunct w:val="0"/>
        <w:autoSpaceDE/>
        <w:autoSpaceDN/>
        <w:bidi w:val="0"/>
        <w:spacing w:beforeAutospacing="0" w:afterAutospacing="0" w:line="600" w:lineRule="exact"/>
        <w:ind w:left="0"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lang w:val="en-US" w:eastAsia="zh-CN"/>
        </w:rPr>
        <w:t>3、</w:t>
      </w:r>
      <w:r>
        <w:rPr>
          <w:rFonts w:hint="eastAsia" w:ascii="仿宋_GB2312" w:hAnsi="仿宋_GB2312" w:eastAsia="仿宋_GB2312" w:cs="仿宋_GB2312"/>
          <w:b w:val="0"/>
          <w:bCs w:val="0"/>
          <w:color w:val="auto"/>
          <w:sz w:val="32"/>
          <w:szCs w:val="32"/>
          <w:highlight w:val="none"/>
        </w:rPr>
        <w:t>深化预警监测机制，</w:t>
      </w:r>
      <w:r>
        <w:rPr>
          <w:rFonts w:hint="eastAsia" w:ascii="仿宋_GB2312" w:hAnsi="仿宋_GB2312" w:eastAsia="仿宋_GB2312" w:cs="仿宋_GB2312"/>
          <w:b w:val="0"/>
          <w:bCs w:val="0"/>
          <w:color w:val="auto"/>
          <w:sz w:val="32"/>
          <w:szCs w:val="32"/>
          <w:highlight w:val="none"/>
          <w:lang w:val="en-US" w:eastAsia="zh-CN"/>
        </w:rPr>
        <w:t>提高防范流动性风险能力</w:t>
      </w:r>
      <w:r>
        <w:rPr>
          <w:rFonts w:hint="eastAsia" w:ascii="仿宋_GB2312" w:hAnsi="仿宋_GB2312" w:eastAsia="仿宋_GB2312" w:cs="仿宋_GB2312"/>
          <w:b w:val="0"/>
          <w:bCs w:val="0"/>
          <w:color w:val="auto"/>
          <w:sz w:val="32"/>
          <w:szCs w:val="32"/>
          <w:highlight w:val="none"/>
        </w:rPr>
        <w:t>。一是加强流动性风险的早期监测与预警，严格落实逐日监测制度</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二是定期开展流动性风险压力测试，做好相应预案的应急演练，提高流动性风险应急处置能力</w:t>
      </w:r>
      <w:r>
        <w:rPr>
          <w:rFonts w:hint="eastAsia" w:ascii="仿宋_GB2312" w:hAnsi="仿宋_GB2312" w:eastAsia="仿宋_GB2312" w:cs="仿宋_GB2312"/>
          <w:b w:val="0"/>
          <w:bCs w:val="0"/>
          <w:color w:val="auto"/>
          <w:sz w:val="32"/>
          <w:szCs w:val="32"/>
          <w:highlight w:val="none"/>
          <w:lang w:eastAsia="zh-CN"/>
        </w:rPr>
        <w:t>。</w:t>
      </w:r>
    </w:p>
    <w:p>
      <w:pPr>
        <w:keepNext w:val="0"/>
        <w:keepLines w:val="0"/>
        <w:pageBreakBefore w:val="0"/>
        <w:kinsoku/>
        <w:wordWrap/>
        <w:overflowPunct/>
        <w:topLinePunct w:val="0"/>
        <w:autoSpaceDE/>
        <w:autoSpaceDN/>
        <w:bidi w:val="0"/>
        <w:spacing w:beforeAutospacing="0" w:afterAutospacing="0" w:line="600" w:lineRule="exact"/>
        <w:ind w:left="0" w:firstLine="640" w:firstLineChars="200"/>
        <w:jc w:val="both"/>
        <w:textAlignment w:val="auto"/>
        <w:outlineLvl w:val="9"/>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4、</w:t>
      </w:r>
      <w:r>
        <w:rPr>
          <w:rFonts w:hint="eastAsia" w:ascii="仿宋_GB2312" w:hAnsi="仿宋_GB2312" w:eastAsia="仿宋_GB2312" w:cs="仿宋_GB2312"/>
          <w:b w:val="0"/>
          <w:bCs w:val="0"/>
          <w:color w:val="auto"/>
          <w:sz w:val="32"/>
          <w:szCs w:val="32"/>
          <w:highlight w:val="none"/>
        </w:rPr>
        <w:t>加强声誉风险管理。全面梳理声誉风险管理难点和薄弱环节，有针对性地完善应急处置预案和应急管理机制</w:t>
      </w:r>
      <w:r>
        <w:rPr>
          <w:rFonts w:hint="eastAsia" w:ascii="仿宋_GB2312" w:hAnsi="仿宋_GB2312" w:eastAsia="仿宋_GB2312" w:cs="仿宋_GB2312"/>
          <w:b w:val="0"/>
          <w:bCs w:val="0"/>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5、加快人才培养，优化队伍建设。形成常态化培训机制，提高管理能力与业务能力，提升整体队伍业务素质和水平。</w:t>
      </w:r>
    </w:p>
    <w:p>
      <w:pPr>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6、</w:t>
      </w:r>
      <w:r>
        <w:rPr>
          <w:rFonts w:hint="eastAsia" w:ascii="仿宋_GB2312" w:hAnsi="仿宋_GB2312" w:eastAsia="仿宋_GB2312" w:cs="仿宋_GB2312"/>
          <w:b w:val="0"/>
          <w:bCs w:val="0"/>
          <w:color w:val="auto"/>
          <w:sz w:val="32"/>
          <w:szCs w:val="32"/>
          <w:lang w:val="en-US" w:eastAsia="zh-CN"/>
        </w:rPr>
        <w:t>规范消费者权益保护工作，维护金融消费者合法权益。一是健全消费者权益保护体制机制，进一步完善内部考核机制，形成上下贯通、执行有力的消保组织体系，确保消保体制机制持续运转有效。二是制定教育宣传工作计划，持续开展金融知识普及教育活动，提高金融消费者自我保护意识和能力。三是加强消保队伍建设，重点挖掘和培养优秀消保技能人才，提升本行消保队伍的综合素质。四是</w:t>
      </w:r>
      <w:r>
        <w:rPr>
          <w:rFonts w:hint="eastAsia" w:ascii="仿宋_GB2312" w:hAnsi="仿宋_GB2312" w:eastAsia="仿宋_GB2312" w:cs="仿宋_GB2312"/>
          <w:b w:val="0"/>
          <w:bCs w:val="0"/>
          <w:color w:val="auto"/>
          <w:sz w:val="32"/>
          <w:szCs w:val="32"/>
          <w:highlight w:val="none"/>
          <w:lang w:eastAsia="zh-CN"/>
        </w:rPr>
        <w:t>完善和细化</w:t>
      </w:r>
      <w:r>
        <w:rPr>
          <w:rFonts w:hint="eastAsia" w:ascii="仿宋_GB2312" w:hAnsi="仿宋_GB2312" w:eastAsia="仿宋_GB2312" w:cs="仿宋_GB2312"/>
          <w:b w:val="0"/>
          <w:bCs w:val="0"/>
          <w:color w:val="auto"/>
          <w:sz w:val="32"/>
          <w:szCs w:val="32"/>
          <w:highlight w:val="none"/>
        </w:rPr>
        <w:t>投诉处理机制</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畅通金融消费者投诉受理渠道</w:t>
      </w:r>
      <w:r>
        <w:rPr>
          <w:rFonts w:hint="eastAsia" w:ascii="仿宋_GB2312" w:hAnsi="仿宋_GB2312" w:eastAsia="仿宋_GB2312" w:cs="仿宋_GB2312"/>
          <w:b w:val="0"/>
          <w:bCs w:val="0"/>
          <w:color w:val="auto"/>
          <w:sz w:val="32"/>
          <w:szCs w:val="32"/>
          <w:highlight w:val="none"/>
          <w:lang w:eastAsia="zh-CN"/>
        </w:rPr>
        <w:t>，有效化解金融纠纷，</w:t>
      </w:r>
      <w:r>
        <w:rPr>
          <w:rFonts w:hint="eastAsia" w:ascii="仿宋_GB2312" w:hAnsi="仿宋_GB2312" w:eastAsia="仿宋_GB2312" w:cs="仿宋_GB2312"/>
          <w:b w:val="0"/>
          <w:bCs w:val="0"/>
          <w:color w:val="auto"/>
          <w:sz w:val="32"/>
          <w:szCs w:val="32"/>
          <w:highlight w:val="none"/>
        </w:rPr>
        <w:t>提高消费者权益保护工作质量。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（二）目标愿景</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“十五五”期间绿色贷款规模较“十四五”实现</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%增长；2026年全行办公电力消耗控制在</w:t>
      </w:r>
      <w:r>
        <w:rPr>
          <w:rFonts w:hint="eastAsia" w:ascii="仿宋_GB2312" w:hAnsi="仿宋_GB2312" w:eastAsia="仿宋_GB2312" w:cs="仿宋_GB2312"/>
          <w:sz w:val="32"/>
          <w:szCs w:val="32"/>
          <w:lang w:val="en-US" w:eastAsia="zh-CN"/>
        </w:rPr>
        <w:t>200</w:t>
      </w:r>
      <w:r>
        <w:rPr>
          <w:rFonts w:hint="eastAsia" w:ascii="仿宋_GB2312" w:hAnsi="仿宋_GB2312" w:eastAsia="仿宋_GB2312" w:cs="仿宋_GB2312"/>
          <w:sz w:val="32"/>
          <w:szCs w:val="32"/>
        </w:rPr>
        <w:t>兆瓦时以内；持续扩大绿色普惠覆盖面。</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三、治理结构和治理活动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（一）治理结构</w:t>
      </w:r>
    </w:p>
    <w:p>
      <w:pPr>
        <w:ind w:firstLine="960" w:firstLineChars="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本行</w:t>
      </w:r>
      <w:r>
        <w:rPr>
          <w:rFonts w:hint="eastAsia" w:ascii="仿宋_GB2312" w:hAnsi="仿宋_GB2312" w:eastAsia="仿宋_GB2312" w:cs="仿宋_GB2312"/>
          <w:sz w:val="32"/>
          <w:szCs w:val="32"/>
        </w:rPr>
        <w:t>建立</w:t>
      </w:r>
      <w:r>
        <w:rPr>
          <w:rFonts w:hint="eastAsia" w:ascii="仿宋_GB2312" w:hAnsi="仿宋_GB2312" w:eastAsia="仿宋_GB2312" w:cs="仿宋_GB2312"/>
          <w:sz w:val="32"/>
          <w:szCs w:val="32"/>
          <w:lang w:eastAsia="zh-CN"/>
        </w:rPr>
        <w:t>业务连续性</w:t>
      </w:r>
      <w:r>
        <w:rPr>
          <w:rFonts w:hint="eastAsia" w:ascii="仿宋_GB2312" w:hAnsi="仿宋_GB2312" w:eastAsia="仿宋_GB2312" w:cs="仿宋_GB2312"/>
          <w:sz w:val="32"/>
          <w:szCs w:val="32"/>
        </w:rPr>
        <w:t>工作</w:t>
      </w:r>
      <w:r>
        <w:rPr>
          <w:rFonts w:hint="eastAsia" w:ascii="仿宋_GB2312" w:hAnsi="仿宋_GB2312" w:eastAsia="仿宋_GB2312" w:cs="仿宋_GB2312"/>
          <w:sz w:val="32"/>
          <w:szCs w:val="32"/>
          <w:lang w:eastAsia="zh-CN"/>
        </w:rPr>
        <w:t>委员会及应急工作</w:t>
      </w:r>
      <w:r>
        <w:rPr>
          <w:rFonts w:hint="eastAsia" w:ascii="仿宋_GB2312" w:hAnsi="仿宋_GB2312" w:eastAsia="仿宋_GB2312" w:cs="仿宋_GB2312"/>
          <w:sz w:val="32"/>
          <w:szCs w:val="32"/>
        </w:rPr>
        <w:t>领导小组，主要负责人任组长，班子成员任副组长，各部室为成员。明确议事决策机制；业务</w:t>
      </w:r>
      <w:r>
        <w:rPr>
          <w:rFonts w:hint="eastAsia" w:ascii="仿宋_GB2312" w:hAnsi="仿宋_GB2312" w:eastAsia="仿宋_GB2312" w:cs="仿宋_GB2312"/>
          <w:sz w:val="32"/>
          <w:szCs w:val="32"/>
          <w:lang w:eastAsia="zh-CN"/>
        </w:rPr>
        <w:t>发展部</w:t>
      </w:r>
      <w:r>
        <w:rPr>
          <w:rFonts w:hint="eastAsia" w:ascii="仿宋_GB2312" w:hAnsi="仿宋_GB2312" w:eastAsia="仿宋_GB2312" w:cs="仿宋_GB2312"/>
          <w:sz w:val="32"/>
          <w:szCs w:val="32"/>
        </w:rPr>
        <w:t>为牵头部门，风险</w:t>
      </w:r>
      <w:r>
        <w:rPr>
          <w:rFonts w:hint="eastAsia" w:ascii="仿宋_GB2312" w:hAnsi="仿宋_GB2312" w:eastAsia="仿宋_GB2312" w:cs="仿宋_GB2312"/>
          <w:sz w:val="32"/>
          <w:szCs w:val="32"/>
          <w:lang w:eastAsia="zh-CN"/>
        </w:rPr>
        <w:t>合规</w:t>
      </w:r>
      <w:r>
        <w:rPr>
          <w:rFonts w:hint="eastAsia" w:ascii="仿宋_GB2312" w:hAnsi="仿宋_GB2312" w:eastAsia="仿宋_GB2312" w:cs="仿宋_GB2312"/>
          <w:sz w:val="32"/>
          <w:szCs w:val="32"/>
        </w:rPr>
        <w:t>部、运营管理部、办公室等分工协同，压实绿色金融业务推进、风险管控、绿色运营管理职责。</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（二）治理活动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我</w:t>
      </w:r>
      <w:r>
        <w:rPr>
          <w:rFonts w:hint="eastAsia" w:ascii="仿宋_GB2312" w:hAnsi="仿宋_GB2312" w:eastAsia="仿宋_GB2312" w:cs="仿宋_GB2312"/>
          <w:sz w:val="32"/>
          <w:szCs w:val="32"/>
        </w:rPr>
        <w:t>行班子专题研究审议绿色金融、可持续发展相关工作；推动制度修订完善；将绿色金融纳入内部考核；各业务条线落地绿色授信、环境风险排查等工作，</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制定或修订了《聊城沪农商村镇银行资本管理办法》、《聊城沪农商村镇银行资产质量管理年活动方案》、《聊城沪农商村镇银行支农支小贷款办法》等，并按季度开展统计分析、风险排查，确保各项工作可持续开展</w:t>
      </w:r>
      <w:r>
        <w:rPr>
          <w:rFonts w:hint="eastAsia" w:ascii="仿宋_GB2312" w:hAnsi="仿宋_GB2312" w:eastAsia="仿宋_GB2312" w:cs="仿宋_GB2312"/>
          <w:sz w:val="32"/>
          <w:szCs w:val="32"/>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四、政策制度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本行除了严格</w:t>
      </w:r>
      <w:r>
        <w:rPr>
          <w:rFonts w:hint="eastAsia" w:ascii="仿宋_GB2312" w:hAnsi="仿宋_GB2312" w:eastAsia="仿宋_GB2312" w:cs="仿宋_GB2312"/>
          <w:sz w:val="32"/>
          <w:szCs w:val="32"/>
        </w:rPr>
        <w:t>落实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执行国家、地方生态环保法规政策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对标监管框架开展业务实践</w:t>
      </w:r>
      <w:r>
        <w:rPr>
          <w:rFonts w:hint="eastAsia" w:ascii="仿宋_GB2312" w:hAnsi="仿宋_GB2312" w:eastAsia="仿宋_GB2312" w:cs="仿宋_GB2312"/>
          <w:sz w:val="32"/>
          <w:szCs w:val="32"/>
          <w:lang w:eastAsia="zh-CN"/>
        </w:rPr>
        <w:t>外，同时又</w:t>
      </w:r>
      <w:r>
        <w:rPr>
          <w:rFonts w:hint="eastAsia" w:ascii="仿宋_GB2312" w:hAnsi="仿宋_GB2312" w:eastAsia="仿宋_GB2312" w:cs="仿宋_GB2312"/>
          <w:sz w:val="32"/>
          <w:szCs w:val="32"/>
        </w:rPr>
        <w:t>制定</w:t>
      </w:r>
      <w:r>
        <w:rPr>
          <w:rFonts w:hint="eastAsia" w:ascii="仿宋_GB2312" w:hAnsi="仿宋_GB2312" w:eastAsia="仿宋_GB2312" w:cs="仿宋_GB2312"/>
          <w:sz w:val="32"/>
          <w:szCs w:val="32"/>
          <w:lang w:eastAsia="zh-CN"/>
        </w:rPr>
        <w:t>了符合本行实际的部分</w:t>
      </w:r>
      <w:r>
        <w:rPr>
          <w:rFonts w:hint="eastAsia" w:ascii="仿宋_GB2312" w:hAnsi="仿宋_GB2312" w:eastAsia="仿宋_GB2312" w:cs="仿宋_GB2312"/>
          <w:sz w:val="32"/>
          <w:szCs w:val="32"/>
        </w:rPr>
        <w:t>可持续相关制度机制：</w:t>
      </w:r>
      <w:r>
        <w:rPr>
          <w:rFonts w:hint="eastAsia" w:ascii="仿宋_GB2312" w:hAnsi="仿宋_GB2312" w:eastAsia="仿宋_GB2312" w:cs="仿宋_GB2312"/>
          <w:sz w:val="32"/>
          <w:szCs w:val="32"/>
          <w:lang w:eastAsia="zh-CN"/>
        </w:rPr>
        <w:t>如《聊城沪农商村镇银行业务连续性管理办法》、《</w:t>
      </w:r>
      <w:r>
        <w:rPr>
          <w:rFonts w:hint="eastAsia" w:ascii="仿宋_GB2312" w:hAnsi="仿宋_GB2312" w:eastAsia="仿宋_GB2312" w:cs="仿宋_GB2312"/>
          <w:sz w:val="32"/>
          <w:szCs w:val="32"/>
          <w:lang w:val="en-US" w:eastAsia="zh-CN"/>
        </w:rPr>
        <w:t>2025年信贷投向政策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lang w:eastAsia="zh-CN"/>
        </w:rPr>
        <w:t>授信政策符合</w:t>
      </w:r>
      <w:r>
        <w:rPr>
          <w:rFonts w:hint="eastAsia" w:ascii="仿宋_GB2312" w:hAnsi="仿宋_GB2312" w:eastAsia="仿宋_GB2312" w:cs="仿宋_GB2312"/>
          <w:sz w:val="32"/>
          <w:szCs w:val="32"/>
        </w:rPr>
        <w:t>绿色投融资业务机制、环境与气候风险授信管理要求</w:t>
      </w:r>
      <w:r>
        <w:rPr>
          <w:rFonts w:hint="eastAsia" w:ascii="仿宋_GB2312" w:hAnsi="仿宋_GB2312" w:eastAsia="仿宋_GB2312" w:cs="仿宋_GB2312"/>
          <w:sz w:val="32"/>
          <w:szCs w:val="32"/>
          <w:lang w:eastAsia="zh-CN"/>
        </w:rPr>
        <w:t>等。</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五、可持续相关风险和机遇</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本行制定了《聊城沪农商村镇银行业务连续性管理总体应急预案》</w:t>
      </w:r>
      <w:r>
        <w:rPr>
          <w:rFonts w:hint="eastAsia" w:ascii="仿宋_GB2312" w:hAnsi="仿宋_GB2312" w:eastAsia="仿宋_GB2312" w:cs="仿宋_GB2312"/>
          <w:sz w:val="32"/>
          <w:szCs w:val="32"/>
        </w:rPr>
        <w:t>：模拟极端假设事件评估潜在经营后果。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风险和机遇描述</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预设场景：当运营中断事件发生时，各部门应根据事件发生所导致的关键资源不可用情况，按照各不可用流程进行业务恢复。</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本业务连续性计划为应对运营中断事件的业务持续及恢复的总体指导文档，各条线/部室应根据本计划制定和落实专项业务连续性计划。</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关键资源恢复主要包括关键人员、场所、系统、第三方、设备/表单等不可用场景下的业务恢复流程。</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可持续风险机遇评估</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业务连续性场景可能：系统不可用、人员不可用、长度不可用、设备、表单不可用、第三方不可用、大范围中断风险；</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 风险机遇排序：</w:t>
      </w:r>
      <w:r>
        <w:rPr>
          <w:rFonts w:hint="eastAsia" w:ascii="仿宋_GB2312" w:hAnsi="仿宋_GB2312" w:eastAsia="仿宋_GB2312" w:cs="仿宋_GB2312"/>
          <w:sz w:val="32"/>
          <w:szCs w:val="32"/>
          <w:lang w:val="en-US" w:eastAsia="zh-CN"/>
        </w:rPr>
        <w:t>本行总体</w:t>
      </w:r>
      <w:r>
        <w:rPr>
          <w:rFonts w:hint="eastAsia" w:ascii="仿宋_GB2312" w:hAnsi="仿宋_GB2312" w:eastAsia="仿宋_GB2312" w:cs="仿宋_GB2312"/>
          <w:sz w:val="32"/>
          <w:szCs w:val="32"/>
          <w:lang w:eastAsia="zh-CN"/>
        </w:rPr>
        <w:t>应急预案、</w:t>
      </w:r>
      <w:r>
        <w:rPr>
          <w:rFonts w:hint="eastAsia" w:ascii="仿宋_GB2312" w:hAnsi="仿宋_GB2312" w:eastAsia="仿宋_GB2312" w:cs="仿宋_GB2312"/>
          <w:sz w:val="32"/>
          <w:szCs w:val="32"/>
          <w:lang w:val="en-US" w:eastAsia="zh-CN"/>
        </w:rPr>
        <w:t>分预案及专项预案</w:t>
      </w:r>
      <w:r>
        <w:rPr>
          <w:rFonts w:hint="eastAsia" w:ascii="仿宋_GB2312" w:hAnsi="仿宋_GB2312" w:eastAsia="仿宋_GB2312" w:cs="仿宋_GB2312"/>
          <w:sz w:val="32"/>
          <w:szCs w:val="32"/>
          <w:lang w:eastAsia="zh-CN"/>
        </w:rPr>
        <w:t>需结合本行内外部环境的最新变化进行持续维护和检查，当由于外部监管要求或业务正常运营所需关键资源等内外部环境发生变化，导致现有应急预案适用性降低时，及时对其进行必要更新。</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 管控应对措施：事件发生后，相关部门和人员根据灾情，初步评估严重程度并按流程上报。具体上报流程如下：</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）支行或营业网点：支行</w:t>
      </w:r>
      <w:r>
        <w:rPr>
          <w:rFonts w:hint="eastAsia" w:ascii="仿宋_GB2312" w:hAnsi="仿宋_GB2312" w:eastAsia="仿宋_GB2312" w:cs="仿宋_GB2312"/>
          <w:sz w:val="32"/>
          <w:szCs w:val="32"/>
          <w:lang w:val="en-US" w:eastAsia="zh-CN"/>
        </w:rPr>
        <w:t>/营业网点</w:t>
      </w:r>
      <w:r>
        <w:rPr>
          <w:rFonts w:hint="eastAsia" w:ascii="仿宋_GB2312" w:hAnsi="仿宋_GB2312" w:eastAsia="仿宋_GB2312" w:cs="仿宋_GB2312"/>
          <w:sz w:val="32"/>
          <w:szCs w:val="32"/>
          <w:lang w:eastAsia="zh-CN"/>
        </w:rPr>
        <w:t>初步评估严重程度，并向业务主管部门报告，由业务主管部门进行评估;</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）业务主管部门：由业务主管部门评估严重程度，并向办公室报告，同时报告分管行领导;</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）办公室根据行领导指示，召集成立应急处置领导小组。</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应急处置领导小组根据事件影响范围的不同而做出不同的安排与部署。经过判断, 如果运营中断事件为单点故障,则可按照业务连续性计划中的应急流程进行处理。经过判断, 如果运营中断事件为大范围中断风险,则应急处置领导小组应立即决策，通知办公室按照事件的报送要求，立即向监管部门和主发起行进行报告和通知,并做出媒体公关应对计划。</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如果有足够的资源进行应对,则应急处置领导小组应当对所有受到影响的区域进行资源的配置,具体处理过程可按照业务连续性计划中的处理流程进行；</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如果仅有有限的资源进行应对,则应急处置领导小组应通过调配资源并保证重点恢复，如针对中心机房及信息系统，集中办公场所等相对关键资源进行优先的保障和处理：</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受到运营中断事件影响的大范围机构和部门的应急处理结束后,业务恢复到正常工作状态。大范围运营中断事件的应急恢复处理结束</w:t>
      </w:r>
      <w:bookmarkStart w:id="0" w:name="_Toc274652841"/>
      <w:bookmarkEnd w:id="0"/>
      <w:bookmarkStart w:id="1" w:name="_Toc359314342"/>
      <w:bookmarkEnd w:id="1"/>
      <w:r>
        <w:rPr>
          <w:rFonts w:hint="eastAsia" w:ascii="仿宋_GB2312" w:hAnsi="仿宋_GB2312" w:eastAsia="仿宋_GB2312" w:cs="仿宋_GB2312"/>
          <w:sz w:val="32"/>
          <w:szCs w:val="32"/>
          <w:lang w:eastAsia="zh-CN"/>
        </w:rPr>
        <w:t>，后续根据需要保留部分机构和人员负责善后工作。</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应急预案包括</w:t>
      </w:r>
      <w:r>
        <w:rPr>
          <w:rFonts w:hint="eastAsia" w:ascii="仿宋_GB2312" w:hAnsi="仿宋_GB2312" w:eastAsia="仿宋_GB2312" w:cs="仿宋_GB2312"/>
          <w:sz w:val="32"/>
          <w:szCs w:val="32"/>
        </w:rPr>
        <w:t>气候变化相关风险与机遇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生物多样性相关风险与机遇</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六、金融机构投融资活动可持续信息</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目前，本行业务主要为存款、贷款、结算业务</w:t>
      </w:r>
      <w:r>
        <w:rPr>
          <w:rFonts w:hint="eastAsia" w:ascii="仿宋_GB2312" w:hAnsi="仿宋_GB2312" w:eastAsia="仿宋_GB2312" w:cs="仿宋_GB2312"/>
          <w:sz w:val="32"/>
          <w:szCs w:val="32"/>
        </w:rPr>
        <w:t>。</w:t>
      </w:r>
    </w:p>
    <w:p>
      <w:pPr>
        <w:pStyle w:val="7"/>
        <w:rPr>
          <w:rFonts w:hint="eastAsia"/>
          <w:sz w:val="32"/>
          <w:szCs w:val="32"/>
          <w:lang w:eastAsia="zh-CN"/>
        </w:rPr>
      </w:pPr>
      <w:r>
        <w:rPr>
          <w:rFonts w:hint="eastAsia"/>
          <w:sz w:val="32"/>
          <w:szCs w:val="32"/>
          <w:lang w:eastAsia="zh-CN"/>
        </w:rPr>
        <w:t>（一）投融资业务对可持续发展的影响</w:t>
      </w:r>
    </w:p>
    <w:p>
      <w:pPr>
        <w:pStyle w:val="7"/>
        <w:rPr>
          <w:rFonts w:hint="eastAsia"/>
          <w:sz w:val="32"/>
          <w:szCs w:val="32"/>
          <w:lang w:eastAsia="zh-CN"/>
        </w:rPr>
      </w:pPr>
      <w:r>
        <w:rPr>
          <w:rFonts w:hint="eastAsia"/>
          <w:sz w:val="32"/>
          <w:szCs w:val="32"/>
          <w:lang w:eastAsia="zh-CN"/>
        </w:rPr>
        <w:t>1. 概述分行投融资总体情况，说明投融资活动产生的环境、社会影响。</w:t>
      </w:r>
    </w:p>
    <w:p>
      <w:pPr>
        <w:pStyle w:val="7"/>
        <w:rPr>
          <w:rFonts w:hint="default"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截止2025年末，本行贷款余额48296.8万元，比年初增加1608.65万元，其中，农户贷款余额45351.75万元，小微企业贷款余额43039.6万元，农户和小微贷款合计占全部贷款比重达到98.87%；户均贷款20.65万元，比年初下降0.76万元。</w:t>
      </w:r>
      <w:r>
        <w:rPr>
          <w:rFonts w:hint="eastAsia" w:hAnsi="仿宋_GB2312" w:cs="仿宋_GB2312"/>
          <w:kern w:val="0"/>
          <w:sz w:val="32"/>
          <w:szCs w:val="32"/>
          <w:highlight w:val="none"/>
          <w:lang w:val="en-US" w:eastAsia="zh-CN"/>
        </w:rPr>
        <w:t>信贷投放主要为辖内农户、农村地区个体工商户、小微企业主等。为当地农业、农村经济发展和乡村振兴产生了一定积极影响。</w:t>
      </w:r>
    </w:p>
    <w:p>
      <w:pPr>
        <w:pStyle w:val="7"/>
        <w:rPr>
          <w:rFonts w:hint="eastAsia"/>
          <w:sz w:val="32"/>
          <w:szCs w:val="32"/>
          <w:lang w:eastAsia="zh-CN"/>
        </w:rPr>
      </w:pPr>
      <w:r>
        <w:rPr>
          <w:rFonts w:hint="eastAsia"/>
          <w:sz w:val="32"/>
          <w:szCs w:val="32"/>
          <w:lang w:eastAsia="zh-CN"/>
        </w:rPr>
        <w:t>2. 披露受气候转型风险影响的八大高碳行业（电力、建材、钢铁、有色、石化、化工、造纸、民航）对公贷款余额及占比。</w:t>
      </w:r>
    </w:p>
    <w:p>
      <w:pPr>
        <w:pStyle w:val="7"/>
        <w:rPr>
          <w:rFonts w:hint="default"/>
          <w:sz w:val="32"/>
          <w:szCs w:val="32"/>
          <w:lang w:val="en-US" w:eastAsia="zh-CN"/>
        </w:rPr>
      </w:pPr>
      <w:r>
        <w:rPr>
          <w:rFonts w:hint="eastAsia"/>
          <w:sz w:val="32"/>
          <w:szCs w:val="32"/>
          <w:lang w:eastAsia="zh-CN"/>
        </w:rPr>
        <w:t>截至</w:t>
      </w:r>
      <w:r>
        <w:rPr>
          <w:rFonts w:hint="eastAsia"/>
          <w:sz w:val="32"/>
          <w:szCs w:val="32"/>
          <w:lang w:val="en-US" w:eastAsia="zh-CN"/>
        </w:rPr>
        <w:t>2025年末，本行对公贷款余额1063.77万元，户数19户，其中电力、热力生产和供应业1户，余额45万元，金属制品业2户，余额166万元，无</w:t>
      </w:r>
      <w:r>
        <w:rPr>
          <w:rFonts w:hint="eastAsia"/>
          <w:sz w:val="32"/>
          <w:szCs w:val="32"/>
          <w:lang w:eastAsia="zh-CN"/>
        </w:rPr>
        <w:t>建材、钢铁、有色、石化、化工、造纸、民航等企业。</w:t>
      </w:r>
    </w:p>
    <w:p>
      <w:pPr>
        <w:pStyle w:val="7"/>
        <w:rPr>
          <w:rFonts w:hint="eastAsia"/>
          <w:sz w:val="32"/>
          <w:szCs w:val="32"/>
          <w:lang w:eastAsia="zh-CN"/>
        </w:rPr>
      </w:pPr>
      <w:r>
        <w:rPr>
          <w:rFonts w:hint="eastAsia"/>
          <w:sz w:val="32"/>
          <w:szCs w:val="32"/>
          <w:lang w:eastAsia="zh-CN"/>
        </w:rPr>
        <w:t>3. 投融资碳排放情况：披露重点行业、重点项目贷款对应碳排放；说明投融资碳排放逐年提升披露比例的工作计划。</w:t>
      </w:r>
    </w:p>
    <w:p>
      <w:pPr>
        <w:pStyle w:val="7"/>
        <w:rPr>
          <w:rFonts w:hint="eastAsia"/>
          <w:sz w:val="32"/>
          <w:szCs w:val="32"/>
          <w:lang w:eastAsia="zh-CN"/>
        </w:rPr>
      </w:pPr>
      <w:r>
        <w:rPr>
          <w:rFonts w:hint="eastAsia"/>
          <w:sz w:val="32"/>
          <w:szCs w:val="32"/>
          <w:lang w:eastAsia="zh-CN"/>
        </w:rPr>
        <w:t>本行无符合条件的投向八大高碳行业对公贷款。</w:t>
      </w:r>
    </w:p>
    <w:p>
      <w:pPr>
        <w:pStyle w:val="7"/>
        <w:numPr>
          <w:ilvl w:val="-1"/>
          <w:numId w:val="0"/>
        </w:numPr>
        <w:ind w:firstLine="640" w:firstLineChars="200"/>
        <w:rPr>
          <w:rFonts w:hint="eastAsia"/>
          <w:sz w:val="32"/>
          <w:szCs w:val="32"/>
          <w:lang w:eastAsia="zh-CN"/>
        </w:rPr>
      </w:pPr>
      <w:r>
        <w:rPr>
          <w:rFonts w:hint="eastAsia"/>
          <w:sz w:val="32"/>
          <w:szCs w:val="32"/>
          <w:lang w:val="en-US" w:eastAsia="zh-CN"/>
        </w:rPr>
        <w:t>4</w:t>
      </w:r>
      <w:r>
        <w:rPr>
          <w:rFonts w:hint="eastAsia"/>
          <w:sz w:val="32"/>
          <w:szCs w:val="32"/>
          <w:lang w:eastAsia="zh-CN"/>
        </w:rPr>
        <w:t>. 高风险客户环境风险评估体系：说明评估维度、数据来源，2025年度落地执行情况。</w:t>
      </w:r>
    </w:p>
    <w:p>
      <w:pPr>
        <w:pStyle w:val="7"/>
        <w:rPr>
          <w:rFonts w:hint="eastAsia" w:hAnsi="Times New Roman" w:cs="Times New Roman"/>
          <w:sz w:val="32"/>
          <w:szCs w:val="32"/>
          <w:lang w:eastAsia="zh-CN"/>
        </w:rPr>
      </w:pPr>
      <w:r>
        <w:rPr>
          <w:rFonts w:hint="eastAsia" w:hAnsi="Times New Roman" w:cs="Times New Roman"/>
          <w:sz w:val="32"/>
          <w:szCs w:val="32"/>
          <w:lang w:eastAsia="zh-CN"/>
        </w:rPr>
        <w:t>暂未统计，后续逐步完善。</w:t>
      </w:r>
    </w:p>
    <w:p>
      <w:pPr>
        <w:pStyle w:val="7"/>
        <w:rPr>
          <w:rFonts w:hint="eastAsia"/>
          <w:sz w:val="32"/>
          <w:szCs w:val="32"/>
          <w:lang w:eastAsia="zh-CN"/>
        </w:rPr>
      </w:pPr>
      <w:r>
        <w:rPr>
          <w:rFonts w:hint="eastAsia"/>
          <w:sz w:val="32"/>
          <w:szCs w:val="32"/>
          <w:lang w:eastAsia="zh-CN"/>
        </w:rPr>
        <w:t>本行无项目贷款。</w:t>
      </w:r>
    </w:p>
    <w:p>
      <w:pPr>
        <w:pStyle w:val="7"/>
        <w:rPr>
          <w:rFonts w:hint="eastAsia"/>
          <w:sz w:val="32"/>
          <w:szCs w:val="32"/>
          <w:lang w:eastAsia="zh-CN"/>
        </w:rPr>
      </w:pPr>
      <w:r>
        <w:rPr>
          <w:rFonts w:hint="eastAsia"/>
          <w:sz w:val="32"/>
          <w:szCs w:val="32"/>
          <w:lang w:eastAsia="zh-CN"/>
        </w:rPr>
        <w:t>（二）绿色金融投资业务的环境效益</w:t>
      </w:r>
    </w:p>
    <w:p>
      <w:pPr>
        <w:pStyle w:val="7"/>
        <w:rPr>
          <w:rFonts w:hint="eastAsia"/>
          <w:sz w:val="32"/>
          <w:szCs w:val="32"/>
          <w:lang w:eastAsia="zh-CN"/>
        </w:rPr>
      </w:pPr>
      <w:r>
        <w:rPr>
          <w:rFonts w:hint="eastAsia"/>
          <w:sz w:val="32"/>
          <w:szCs w:val="32"/>
          <w:lang w:eastAsia="zh-CN"/>
        </w:rPr>
        <w:t>1. 绿色贷款总体规模、分行业投放，同比变动。</w:t>
      </w:r>
    </w:p>
    <w:p>
      <w:pPr>
        <w:pStyle w:val="7"/>
        <w:rPr>
          <w:rFonts w:hint="default"/>
          <w:sz w:val="32"/>
          <w:szCs w:val="32"/>
          <w:lang w:val="en-US" w:eastAsia="zh-CN"/>
        </w:rPr>
      </w:pPr>
      <w:r>
        <w:rPr>
          <w:rFonts w:hint="eastAsia"/>
          <w:sz w:val="32"/>
          <w:szCs w:val="32"/>
          <w:lang w:eastAsia="zh-CN"/>
        </w:rPr>
        <w:t>截至</w:t>
      </w:r>
      <w:r>
        <w:rPr>
          <w:rFonts w:hint="eastAsia"/>
          <w:sz w:val="32"/>
          <w:szCs w:val="32"/>
          <w:lang w:val="en-US" w:eastAsia="zh-CN"/>
        </w:rPr>
        <w:t>2025年末，本行绿色贷款余额241.39万元，较年初增减138.97万元，其中电力、热力生产和供应业余额131.17万元，科学研究与技术服务业20.97万元，水利、环境和公共设施管理业89.25万元。</w:t>
      </w:r>
    </w:p>
    <w:p>
      <w:pPr>
        <w:pStyle w:val="7"/>
        <w:rPr>
          <w:rFonts w:hint="eastAsia"/>
          <w:sz w:val="32"/>
          <w:szCs w:val="32"/>
          <w:lang w:eastAsia="zh-CN"/>
        </w:rPr>
      </w:pPr>
      <w:r>
        <w:rPr>
          <w:rFonts w:hint="eastAsia"/>
          <w:sz w:val="32"/>
          <w:szCs w:val="32"/>
          <w:lang w:eastAsia="zh-CN"/>
        </w:rPr>
        <w:t>2. 绿色债券投资、承销业务开展情况，同比变动。</w:t>
      </w:r>
    </w:p>
    <w:p>
      <w:pPr>
        <w:pStyle w:val="7"/>
        <w:rPr>
          <w:rFonts w:hint="eastAsia"/>
          <w:sz w:val="32"/>
          <w:szCs w:val="32"/>
          <w:lang w:eastAsia="zh-CN"/>
        </w:rPr>
      </w:pPr>
      <w:r>
        <w:rPr>
          <w:rFonts w:hint="eastAsia"/>
          <w:sz w:val="32"/>
          <w:szCs w:val="32"/>
          <w:lang w:eastAsia="zh-CN"/>
        </w:rPr>
        <w:t>本行无绿色债券业务。</w:t>
      </w:r>
    </w:p>
    <w:p>
      <w:pPr>
        <w:pStyle w:val="7"/>
        <w:numPr>
          <w:ilvl w:val="-1"/>
          <w:numId w:val="0"/>
        </w:numPr>
        <w:ind w:firstLine="640" w:firstLineChars="200"/>
        <w:rPr>
          <w:rFonts w:hint="eastAsia"/>
          <w:sz w:val="32"/>
          <w:szCs w:val="32"/>
          <w:lang w:eastAsia="zh-CN"/>
        </w:rPr>
      </w:pPr>
      <w:r>
        <w:rPr>
          <w:rFonts w:hint="eastAsia"/>
          <w:sz w:val="32"/>
          <w:szCs w:val="32"/>
          <w:lang w:val="en-US" w:eastAsia="zh-CN"/>
        </w:rPr>
        <w:t>3</w:t>
      </w:r>
      <w:r>
        <w:rPr>
          <w:rFonts w:hint="eastAsia"/>
          <w:sz w:val="32"/>
          <w:szCs w:val="32"/>
          <w:lang w:eastAsia="zh-CN"/>
        </w:rPr>
        <w:t>. 其他绿色投融资业务开展情况。</w:t>
      </w:r>
    </w:p>
    <w:p>
      <w:pPr>
        <w:pStyle w:val="7"/>
        <w:numPr>
          <w:ilvl w:val="0"/>
          <w:numId w:val="0"/>
        </w:numPr>
        <w:ind w:firstLine="640" w:firstLineChars="200"/>
        <w:rPr>
          <w:rFonts w:hint="eastAsia"/>
          <w:sz w:val="32"/>
          <w:szCs w:val="32"/>
          <w:lang w:eastAsia="zh-CN"/>
        </w:rPr>
      </w:pPr>
      <w:r>
        <w:rPr>
          <w:rFonts w:hint="eastAsia"/>
          <w:sz w:val="32"/>
          <w:szCs w:val="32"/>
          <w:lang w:eastAsia="zh-CN"/>
        </w:rPr>
        <w:t>本行无其他绿色投融资业务。</w:t>
      </w:r>
    </w:p>
    <w:p>
      <w:pPr>
        <w:pStyle w:val="7"/>
        <w:numPr>
          <w:ilvl w:val="-1"/>
          <w:numId w:val="0"/>
        </w:numPr>
        <w:ind w:left="600" w:leftChars="0" w:firstLine="0" w:firstLineChars="0"/>
        <w:rPr>
          <w:rFonts w:hint="eastAsia"/>
          <w:sz w:val="32"/>
          <w:szCs w:val="32"/>
          <w:lang w:eastAsia="zh-CN"/>
        </w:rPr>
      </w:pPr>
      <w:r>
        <w:rPr>
          <w:rFonts w:hint="eastAsia"/>
          <w:sz w:val="32"/>
          <w:szCs w:val="32"/>
          <w:lang w:val="en-US" w:eastAsia="zh-CN"/>
        </w:rPr>
        <w:t>4</w:t>
      </w:r>
      <w:r>
        <w:rPr>
          <w:rFonts w:hint="eastAsia"/>
          <w:sz w:val="32"/>
          <w:szCs w:val="32"/>
          <w:lang w:eastAsia="zh-CN"/>
        </w:rPr>
        <w:t>. 绿色贷款、绿色债券等对应的环境效益，如年节约标准煤、减排二氧化碳、节水等量化成效。</w:t>
      </w:r>
    </w:p>
    <w:p>
      <w:pPr>
        <w:pStyle w:val="7"/>
        <w:rPr>
          <w:rFonts w:hint="eastAsia" w:hAnsi="Times New Roman" w:cs="Times New Roman"/>
          <w:sz w:val="32"/>
          <w:szCs w:val="32"/>
          <w:lang w:eastAsia="zh-CN"/>
        </w:rPr>
      </w:pPr>
      <w:r>
        <w:rPr>
          <w:rFonts w:hint="eastAsia" w:hAnsi="Times New Roman" w:cs="Times New Roman"/>
          <w:sz w:val="32"/>
          <w:szCs w:val="32"/>
          <w:lang w:eastAsia="zh-CN"/>
        </w:rPr>
        <w:t>暂未统计，后续逐步完善。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七、金融机构自身运营可持续相关信息</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（一）绿色运营总体情况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2025年本行大力倡导绿色办公、绿色办贷，</w:t>
      </w:r>
      <w:r>
        <w:rPr>
          <w:rFonts w:hint="eastAsia" w:ascii="仿宋_GB2312" w:hAnsi="仿宋_GB2312" w:eastAsia="仿宋_GB2312" w:cs="仿宋_GB2312"/>
          <w:sz w:val="32"/>
          <w:szCs w:val="32"/>
        </w:rPr>
        <w:t>2025年绿色运营举措：</w:t>
      </w:r>
      <w:r>
        <w:rPr>
          <w:rFonts w:hint="eastAsia" w:ascii="仿宋_GB2312" w:hAnsi="仿宋_GB2312" w:eastAsia="仿宋_GB2312" w:cs="仿宋_GB2312"/>
          <w:sz w:val="32"/>
          <w:szCs w:val="32"/>
          <w:lang w:eastAsia="zh-CN"/>
        </w:rPr>
        <w:t>一是优化业务流程，倡导</w:t>
      </w:r>
      <w:r>
        <w:rPr>
          <w:rFonts w:hint="eastAsia" w:ascii="仿宋_GB2312" w:hAnsi="仿宋_GB2312" w:eastAsia="仿宋_GB2312" w:cs="仿宋_GB2312"/>
          <w:sz w:val="32"/>
          <w:szCs w:val="32"/>
        </w:rPr>
        <w:t>无纸化办公</w:t>
      </w:r>
      <w:r>
        <w:rPr>
          <w:rFonts w:hint="eastAsia" w:ascii="仿宋_GB2312" w:hAnsi="仿宋_GB2312" w:eastAsia="仿宋_GB2312" w:cs="仿宋_GB2312"/>
          <w:sz w:val="32"/>
          <w:szCs w:val="32"/>
          <w:lang w:eastAsia="zh-CN"/>
        </w:rPr>
        <w:t>，提倡电子档案，对于能通过移动</w:t>
      </w:r>
      <w:r>
        <w:rPr>
          <w:rFonts w:hint="eastAsia" w:ascii="仿宋_GB2312" w:hAnsi="仿宋_GB2312" w:eastAsia="仿宋_GB2312" w:cs="仿宋_GB2312"/>
          <w:sz w:val="32"/>
          <w:szCs w:val="32"/>
          <w:lang w:val="en-US" w:eastAsia="zh-CN"/>
        </w:rPr>
        <w:t>PaD等收集的资料，不再要求纸质材料，减少资源消耗</w:t>
      </w:r>
      <w:r>
        <w:rPr>
          <w:rFonts w:hint="eastAsia" w:ascii="仿宋_GB2312" w:hAnsi="仿宋_GB2312" w:eastAsia="仿宋_GB2312" w:cs="仿宋_GB2312"/>
          <w:sz w:val="32"/>
          <w:szCs w:val="32"/>
          <w:lang w:eastAsia="zh-CN"/>
        </w:rPr>
        <w:t>；二是持续提高网点</w:t>
      </w:r>
      <w:r>
        <w:rPr>
          <w:rFonts w:hint="eastAsia" w:ascii="仿宋_GB2312" w:hAnsi="仿宋_GB2312" w:eastAsia="仿宋_GB2312" w:cs="仿宋_GB2312"/>
          <w:sz w:val="32"/>
          <w:szCs w:val="32"/>
        </w:rPr>
        <w:t>LED节能设备替换</w:t>
      </w:r>
      <w:r>
        <w:rPr>
          <w:rFonts w:hint="eastAsia" w:ascii="仿宋_GB2312" w:hAnsi="仿宋_GB2312" w:eastAsia="仿宋_GB2312" w:cs="仿宋_GB2312"/>
          <w:sz w:val="32"/>
          <w:szCs w:val="32"/>
          <w:lang w:eastAsia="zh-CN"/>
        </w:rPr>
        <w:t>情况，节能减排；三是根据业务发展情况，逐步减少公车数量，</w:t>
      </w:r>
      <w:r>
        <w:rPr>
          <w:rFonts w:hint="eastAsia" w:ascii="仿宋_GB2312" w:hAnsi="仿宋_GB2312" w:eastAsia="仿宋_GB2312" w:cs="仿宋_GB2312"/>
          <w:sz w:val="32"/>
          <w:szCs w:val="32"/>
        </w:rPr>
        <w:t>倡导员工绿色出行</w:t>
      </w:r>
      <w:r>
        <w:rPr>
          <w:rFonts w:hint="eastAsia" w:ascii="仿宋_GB2312" w:hAnsi="仿宋_GB2312" w:eastAsia="仿宋_GB2312" w:cs="仿宋_GB2312"/>
          <w:sz w:val="32"/>
          <w:szCs w:val="32"/>
          <w:lang w:eastAsia="zh-CN"/>
        </w:rPr>
        <w:t>；四是倡导</w:t>
      </w:r>
      <w:r>
        <w:rPr>
          <w:rFonts w:hint="eastAsia" w:ascii="仿宋_GB2312" w:hAnsi="仿宋_GB2312" w:eastAsia="仿宋_GB2312" w:cs="仿宋_GB2312"/>
          <w:sz w:val="32"/>
          <w:szCs w:val="32"/>
        </w:rPr>
        <w:t>垃圾分类回收等工作</w:t>
      </w:r>
      <w:r>
        <w:rPr>
          <w:rFonts w:hint="eastAsia" w:ascii="仿宋_GB2312" w:hAnsi="仿宋_GB2312" w:eastAsia="仿宋_GB2312" w:cs="仿宋_GB2312"/>
          <w:sz w:val="32"/>
          <w:szCs w:val="32"/>
          <w:lang w:eastAsia="zh-CN"/>
        </w:rPr>
        <w:t>，截至</w:t>
      </w:r>
      <w:r>
        <w:rPr>
          <w:rFonts w:hint="eastAsia" w:ascii="仿宋_GB2312" w:hAnsi="仿宋_GB2312" w:eastAsia="仿宋_GB2312" w:cs="仿宋_GB2312"/>
          <w:sz w:val="32"/>
          <w:szCs w:val="32"/>
          <w:lang w:val="en-US" w:eastAsia="zh-CN"/>
        </w:rPr>
        <w:t>2025年末，办公网点用水较上年度减少175吨，营业、办公耗用电力较上年度减少34兆瓦时</w:t>
      </w:r>
      <w:r>
        <w:rPr>
          <w:rFonts w:hint="eastAsia" w:ascii="仿宋_GB2312" w:hAnsi="仿宋_GB2312" w:eastAsia="仿宋_GB2312" w:cs="仿宋_GB2312"/>
          <w:sz w:val="32"/>
          <w:szCs w:val="32"/>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（二）温室气体排放核算</w:t>
      </w:r>
    </w:p>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暂未统计，后续逐步完善</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（三）经营活动对环境影响分析</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本行营业、办公</w:t>
      </w:r>
      <w:r>
        <w:rPr>
          <w:rFonts w:hint="eastAsia" w:ascii="仿宋_GB2312" w:hAnsi="仿宋_GB2312" w:eastAsia="仿宋_GB2312" w:cs="仿宋_GB2312"/>
          <w:sz w:val="32"/>
          <w:szCs w:val="32"/>
        </w:rPr>
        <w:t>主要能耗来源</w:t>
      </w:r>
      <w:r>
        <w:rPr>
          <w:rFonts w:hint="eastAsia" w:ascii="仿宋_GB2312" w:hAnsi="仿宋_GB2312" w:eastAsia="仿宋_GB2312" w:cs="仿宋_GB2312"/>
          <w:sz w:val="32"/>
          <w:szCs w:val="32"/>
          <w:lang w:eastAsia="zh-CN"/>
        </w:rPr>
        <w:t>水、电、纸张等</w:t>
      </w:r>
      <w:r>
        <w:rPr>
          <w:rFonts w:hint="eastAsia" w:ascii="仿宋_GB2312" w:hAnsi="仿宋_GB2312" w:eastAsia="仿宋_GB2312" w:cs="仿宋_GB2312"/>
          <w:sz w:val="32"/>
          <w:szCs w:val="32"/>
        </w:rPr>
        <w:t>；针对电力、纸张、用水等重点环节说明已实施节能举措</w:t>
      </w:r>
      <w:r>
        <w:rPr>
          <w:rFonts w:hint="eastAsia" w:ascii="仿宋_GB2312" w:hAnsi="仿宋_GB2312" w:eastAsia="仿宋_GB2312" w:cs="仿宋_GB2312"/>
          <w:sz w:val="32"/>
          <w:szCs w:val="32"/>
          <w:lang w:eastAsia="zh-CN"/>
        </w:rPr>
        <w:t>一是加强员工行为教育，提倡节约意识</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二是统一构建净水设备、饮水机等，避免重复投资；三是优化业务流程，实现电子化操作，提倡无纸化办公、电子档案，减少纸张消耗</w:t>
      </w:r>
      <w:r>
        <w:rPr>
          <w:rFonts w:hint="eastAsia" w:ascii="仿宋_GB2312" w:hAnsi="仿宋_GB2312" w:eastAsia="仿宋_GB2312" w:cs="仿宋_GB2312"/>
          <w:sz w:val="32"/>
          <w:szCs w:val="32"/>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（四）环境绩效提升计划</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暂未统计，后续逐步完善</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八、研究与交流成果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暂未开展</w:t>
      </w:r>
      <w:r>
        <w:rPr>
          <w:rFonts w:hint="eastAsia" w:ascii="仿宋_GB2312" w:hAnsi="仿宋_GB2312" w:eastAsia="仿宋_GB2312" w:cs="仿宋_GB2312"/>
          <w:sz w:val="32"/>
          <w:szCs w:val="32"/>
        </w:rPr>
        <w:t>内部绿色金融课题研究、参与外部论坛交流、业务研讨等相关工作。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九、典型案例和实践</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w:t>
      </w:r>
      <w:bookmarkStart w:id="2" w:name="_GoBack"/>
      <w:bookmarkEnd w:id="2"/>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十、其他可持续相关信息</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E24E8D"/>
    <w:multiLevelType w:val="singleLevel"/>
    <w:tmpl w:val="99E24E8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944FA6"/>
    <w:rsid w:val="0407267E"/>
    <w:rsid w:val="08321601"/>
    <w:rsid w:val="0A4028E3"/>
    <w:rsid w:val="10E917CE"/>
    <w:rsid w:val="12E96362"/>
    <w:rsid w:val="186B64D3"/>
    <w:rsid w:val="1D955ABC"/>
    <w:rsid w:val="23DD33BF"/>
    <w:rsid w:val="24BA4B4F"/>
    <w:rsid w:val="2A2C6F31"/>
    <w:rsid w:val="2ACE6A6E"/>
    <w:rsid w:val="32925C21"/>
    <w:rsid w:val="33822A0F"/>
    <w:rsid w:val="34FD7392"/>
    <w:rsid w:val="351776FF"/>
    <w:rsid w:val="389804E8"/>
    <w:rsid w:val="3AB67890"/>
    <w:rsid w:val="3AFA0FC3"/>
    <w:rsid w:val="3C8309A8"/>
    <w:rsid w:val="42F78E5C"/>
    <w:rsid w:val="433A29D1"/>
    <w:rsid w:val="465D5283"/>
    <w:rsid w:val="4B3A2F7F"/>
    <w:rsid w:val="4D242944"/>
    <w:rsid w:val="50B30E2D"/>
    <w:rsid w:val="50E30B83"/>
    <w:rsid w:val="51180868"/>
    <w:rsid w:val="56FD337B"/>
    <w:rsid w:val="59D35DA5"/>
    <w:rsid w:val="5C604AFA"/>
    <w:rsid w:val="5CB51732"/>
    <w:rsid w:val="5F820CDD"/>
    <w:rsid w:val="651C066B"/>
    <w:rsid w:val="686A5B37"/>
    <w:rsid w:val="689132F1"/>
    <w:rsid w:val="6A6869A1"/>
    <w:rsid w:val="70ED20D3"/>
    <w:rsid w:val="76A11E81"/>
    <w:rsid w:val="7A2D02CF"/>
    <w:rsid w:val="7BF55794"/>
    <w:rsid w:val="7FFA2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2">
    <w:name w:val="heading 3"/>
    <w:basedOn w:val="1"/>
    <w:next w:val="1"/>
    <w:unhideWhenUsed/>
    <w:qFormat/>
    <w:uiPriority w:val="0"/>
    <w:pPr>
      <w:bidi w:val="0"/>
      <w:spacing w:line="560" w:lineRule="exact"/>
      <w:ind w:left="0" w:leftChars="0" w:firstLine="880" w:firstLineChars="200"/>
      <w:jc w:val="left"/>
      <w:outlineLvl w:val="2"/>
    </w:pPr>
    <w:rPr>
      <w:rFonts w:ascii="楷体_GB2312" w:hAnsi="楷体_GB2312" w:eastAsia="楷体_GB2312" w:cs="Arial"/>
      <w:bCs/>
      <w:sz w:val="32"/>
      <w:szCs w:val="30"/>
      <w:lang w:val="en-US" w:eastAsia="zh-CN"/>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widowControl w:val="0"/>
      <w:suppressAutoHyphens/>
      <w:jc w:val="left"/>
    </w:pPr>
    <w:rPr>
      <w:rFonts w:ascii="Calibri" w:hAnsi="Calibri" w:eastAsia="宋体" w:cs="Times New Roman"/>
      <w:kern w:val="2"/>
      <w:sz w:val="21"/>
      <w:szCs w:val="24"/>
      <w:lang w:val="en-US" w:eastAsia="zh-CN" w:bidi="ar-SA"/>
    </w:rPr>
  </w:style>
  <w:style w:type="paragraph" w:styleId="6">
    <w:name w:val="Body Text"/>
    <w:basedOn w:val="1"/>
    <w:next w:val="1"/>
    <w:unhideWhenUsed/>
    <w:qFormat/>
    <w:uiPriority w:val="99"/>
    <w:pPr>
      <w:spacing w:after="120"/>
    </w:pPr>
  </w:style>
  <w:style w:type="paragraph" w:styleId="7">
    <w:name w:val="Body Text Indent 2"/>
    <w:basedOn w:val="1"/>
    <w:qFormat/>
    <w:uiPriority w:val="0"/>
    <w:pPr>
      <w:ind w:firstLine="600"/>
    </w:pPr>
    <w:rPr>
      <w:rFonts w:ascii="仿宋_GB2312" w:hAnsi="Times New Roman" w:eastAsia="仿宋_GB2312" w:cs="Times New Roman"/>
      <w:sz w:val="30"/>
      <w:szCs w:val="20"/>
    </w:rPr>
  </w:style>
  <w:style w:type="paragraph" w:styleId="8">
    <w:name w:val="Balloon Text"/>
    <w:basedOn w:val="1"/>
    <w:next w:val="1"/>
    <w:qFormat/>
    <w:uiPriority w:val="0"/>
    <w:pPr>
      <w:widowControl w:val="0"/>
      <w:suppressAutoHyphens/>
      <w:jc w:val="both"/>
    </w:pPr>
    <w:rPr>
      <w:rFonts w:ascii="Calibri" w:hAnsi="Calibri" w:eastAsia="宋体" w:cs="Times New Roman"/>
      <w:kern w:val="2"/>
      <w:sz w:val="18"/>
      <w:szCs w:val="18"/>
      <w:lang w:val="en-US" w:eastAsia="zh-CN" w:bidi="ar-SA"/>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footnote text"/>
    <w:basedOn w:val="1"/>
    <w:unhideWhenUsed/>
    <w:qFormat/>
    <w:uiPriority w:val="0"/>
    <w:pPr>
      <w:snapToGrid w:val="0"/>
      <w:spacing w:line="240" w:lineRule="auto"/>
      <w:jc w:val="left"/>
    </w:pPr>
    <w:rPr>
      <w:rFonts w:ascii="Calibri" w:hAnsi="Calibri" w:eastAsia="宋体" w:cs="黑体"/>
      <w:sz w:val="21"/>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3">
    <w:name w:val="Table Grid"/>
    <w:basedOn w:val="12"/>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footnote reference"/>
    <w:basedOn w:val="14"/>
    <w:semiHidden/>
    <w:unhideWhenUsed/>
    <w:qFormat/>
    <w:uiPriority w:val="0"/>
    <w:rPr>
      <w:vertAlign w:val="superscript"/>
    </w:rPr>
  </w:style>
  <w:style w:type="paragraph" w:styleId="17">
    <w:name w:val="List Paragraph"/>
    <w:basedOn w:val="1"/>
    <w:qFormat/>
    <w:uiPriority w:val="34"/>
    <w:pPr>
      <w:spacing w:after="180" w:line="240" w:lineRule="auto"/>
      <w:ind w:left="720" w:hanging="288"/>
      <w:contextualSpacing/>
    </w:pPr>
    <w:rPr>
      <w:rFonts w:ascii="Calibri" w:hAnsi="Calibri" w:cs="Times New Roman"/>
      <w:color w:val="1F497D"/>
      <w:lang w:eastAsia="en-US"/>
    </w:rPr>
  </w:style>
  <w:style w:type="paragraph" w:customStyle="1" w:styleId="18">
    <w:name w:val="p0"/>
    <w:basedOn w:val="1"/>
    <w:qFormat/>
    <w:uiPriority w:val="0"/>
    <w:pPr>
      <w:widowControl/>
    </w:pPr>
    <w:rPr>
      <w:rFonts w:ascii="Times New Roman" w:hAnsi="Times New Roman" w:eastAsia="宋体" w:cs="Times New Roman"/>
      <w:kern w:val="0"/>
      <w:szCs w:val="21"/>
    </w:rPr>
  </w:style>
  <w:style w:type="character" w:customStyle="1" w:styleId="19">
    <w:name w:val="font21"/>
    <w:basedOn w:val="14"/>
    <w:uiPriority w:val="0"/>
    <w:rPr>
      <w:rFonts w:hint="eastAsia" w:ascii="仿宋_GB2312" w:eastAsia="仿宋_GB2312" w:cs="仿宋_GB2312"/>
      <w:color w:val="000000"/>
      <w:sz w:val="28"/>
      <w:szCs w:val="28"/>
      <w:u w:val="none"/>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39</TotalTime>
  <ScaleCrop>false</ScaleCrop>
  <LinksUpToDate>false</LinksUpToDate>
  <CharactersWithSpaces>0</CharactersWithSpaces>
  <Application>WPS Office_11.8.2.9075_F1E327BC-269C-435d-A152-05C5408002CA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Administrator</cp:lastModifiedBy>
  <dcterms:modified xsi:type="dcterms:W3CDTF">2026-10-10T06:31:10Z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2052-11.8.2.9075</vt:lpwstr>
  </property>
  <property fmtid="{D5CDD505-2E9C-101B-9397-08002B2CF9AE}" pid="3" name="ICV">
    <vt:lpwstr>E8C6B296BA6349D49C5BD07BF5D7756D</vt:lpwstr>
  </property>
</Properties>
</file>